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lineRule="auto"/>
        <w:jc w:val="center"/>
      </w:pPr>
      <w:r>
        <w:rPr>
          <w:rFonts w:ascii="Times New Roman" w:cs="Times New Roman" w:eastAsia="Times New Roman" w:hAnsi="Times New Roman"/>
          <w:b/>
          <w:bCs/>
          <w:sz w:val="24"/>
          <w:szCs w:val="24"/>
        </w:rPr>
        <w:t xml:space="preserve">CARÁTULA DE PRESENTACIÓN</w:t>
      </w:r>
    </w:p>
    <w:p>
      <w:pPr>
        <w:spacing w:after="60" w:before="120" w:line="360" w:lineRule="auto"/>
        <w:jc w:val="left"/>
      </w:pPr>
      <w:r>
        <w:rPr>
          <w:rFonts w:ascii="Times New Roman" w:cs="Times New Roman" w:eastAsia="Times New Roman" w:hAnsi="Times New Roman"/>
          <w:b/>
          <w:bCs/>
          <w:sz w:val="24"/>
          <w:szCs w:val="24"/>
        </w:rPr>
        <w:t xml:space="preserve">Título (español):</w:t>
      </w:r>
    </w:p>
    <w:p>
      <w:pPr>
        <w:spacing w:after="120" w:before="0" w:line="360" w:lineRule="auto"/>
        <w:jc w:val="left"/>
      </w:pPr>
      <w:r>
        <w:rPr>
          <w:rFonts w:ascii="Times New Roman" w:cs="Times New Roman" w:eastAsia="Times New Roman" w:hAnsi="Times New Roman"/>
          <w:sz w:val="24"/>
          <w:szCs w:val="24"/>
        </w:rPr>
        <w:t xml:space="preserve">Fenotipado morfológico y respuesta autonómica en eventos de desaturación nocturna: un enfoque basado en datos más allá de los índices clásicos</w:t>
      </w:r>
    </w:p>
    <w:p>
      <w:pPr>
        <w:spacing w:line="360"/>
      </w:pPr>
      <w:r>
        <w:rPr>
          <w:rFonts w:ascii="Times New Roman" w:cs="Times New Roman" w:eastAsia="Times New Roman" w:hAnsi="Times New Roman"/>
          <w:sz w:val="24"/>
          <w:szCs w:val="24"/>
        </w:rPr>
        <w:t xml:space="preserve"/>
      </w:r>
    </w:p>
    <w:p>
      <w:pPr>
        <w:spacing w:after="60" w:before="120" w:line="360" w:lineRule="auto"/>
        <w:jc w:val="left"/>
      </w:pPr>
      <w:r>
        <w:rPr>
          <w:rFonts w:ascii="Times New Roman" w:cs="Times New Roman" w:eastAsia="Times New Roman" w:hAnsi="Times New Roman"/>
          <w:b/>
          <w:bCs/>
          <w:sz w:val="24"/>
          <w:szCs w:val="24"/>
        </w:rPr>
        <w:t xml:space="preserve">Title (English):</w:t>
      </w:r>
    </w:p>
    <w:p>
      <w:pPr>
        <w:spacing w:after="120" w:before="0" w:line="360" w:lineRule="auto"/>
        <w:jc w:val="left"/>
      </w:pPr>
      <w:r>
        <w:rPr>
          <w:rFonts w:ascii="Times New Roman" w:cs="Times New Roman" w:eastAsia="Times New Roman" w:hAnsi="Times New Roman"/>
          <w:sz w:val="24"/>
          <w:szCs w:val="24"/>
        </w:rPr>
        <w:t xml:space="preserve">Data-driven morphotyping of nocturnal oxygen desaturation events reveals distinct autonomic response phenotypes beyond traditional severity indices</w:t>
      </w:r>
    </w:p>
    <w:p>
      <w:pPr>
        <w:spacing w:line="360"/>
      </w:pPr>
      <w:r>
        <w:rPr>
          <w:rFonts w:ascii="Times New Roman" w:cs="Times New Roman" w:eastAsia="Times New Roman" w:hAnsi="Times New Roman"/>
          <w:sz w:val="24"/>
          <w:szCs w:val="24"/>
        </w:rPr>
        <w:t xml:space="preserve"/>
      </w:r>
    </w:p>
    <w:p>
      <w:pPr>
        <w:spacing w:after="60" w:before="120" w:line="360" w:lineRule="auto"/>
        <w:jc w:val="left"/>
      </w:pPr>
      <w:r>
        <w:rPr>
          <w:rFonts w:ascii="Times New Roman" w:cs="Times New Roman" w:eastAsia="Times New Roman" w:hAnsi="Times New Roman"/>
          <w:b/>
          <w:bCs/>
          <w:sz w:val="24"/>
          <w:szCs w:val="24"/>
        </w:rPr>
        <w:t xml:space="preserve">Autores y afiliaciones:</w:t>
      </w:r>
    </w:p>
    <w:p>
      <w:pPr>
        <w:spacing w:after="120" w:before="0" w:line="360" w:lineRule="auto"/>
        <w:jc w:val="left"/>
      </w:pPr>
      <w:r>
        <w:rPr>
          <w:rFonts w:ascii="Times New Roman" w:cs="Times New Roman" w:eastAsia="Times New Roman" w:hAnsi="Times New Roman"/>
          <w:sz w:val="24"/>
          <w:szCs w:val="24"/>
        </w:rPr>
        <w:t xml:space="preserve">Dr. Diego Delia — Médico Anestesiólogo, Sanatorio Mater Dei, Departamento de Anestesiología, Buenos Aires, Argentina</w:t>
      </w:r>
    </w:p>
    <w:p>
      <w:pPr>
        <w:spacing w:after="120" w:before="0" w:line="360" w:lineRule="auto"/>
        <w:jc w:val="left"/>
      </w:pPr>
      <w:r>
        <w:rPr>
          <w:rFonts w:ascii="Times New Roman" w:cs="Times New Roman" w:eastAsia="Times New Roman" w:hAnsi="Times New Roman"/>
          <w:sz w:val="24"/>
          <w:szCs w:val="24"/>
        </w:rPr>
        <w:t xml:space="preserve">Dr. Roberto Inza — </w:t>
      </w:r>
      <w:r>
        <w:rPr>
          <w:rFonts w:ascii="Times New Roman" w:cs="Times New Roman" w:eastAsia="Times New Roman" w:hAnsi="Times New Roman"/>
          <w:sz w:val="24"/>
          <w:szCs w:val="24"/>
        </w:rPr>
        <w:t xml:space="preserve">Médico Ginecólogo, Instituto de Fertilidad y Reproducción (IFER), Buenos Aires, Argentina. Diplomado en Ciencia de Datos, UADE. Maestrando en Ciencia de Datos, Universidad Austral.</w:t>
      </w:r>
    </w:p>
    <w:p>
      <w:pPr>
        <w:spacing w:after="120" w:before="0" w:line="360" w:lineRule="auto"/>
        <w:jc w:val="left"/>
      </w:pPr>
      <w:r>
        <w:rPr>
          <w:rFonts w:ascii="Times New Roman" w:cs="Times New Roman" w:eastAsia="Times New Roman" w:hAnsi="Times New Roman"/>
          <w:b/>
          <w:bCs/>
          <w:sz w:val="24"/>
          <w:szCs w:val="24"/>
        </w:rPr>
        <w:t xml:space="preserve">Contribuciones: </w:t>
      </w:r>
      <w:r>
        <w:rPr>
          <w:rFonts w:ascii="Times New Roman" w:cs="Times New Roman" w:eastAsia="Times New Roman" w:hAnsi="Times New Roman"/>
          <w:sz w:val="24"/>
          <w:szCs w:val="24"/>
        </w:rPr>
        <w:t xml:space="preserve">Dr. Diego: concepción del estudio, reclutamiento de pacientes, interpretación clínica de resultados. Dr. Inza: diseño metodológico, procesamiento y análisis de señales, desarrollo del pipeline PAC_v3, modelado estadístico, redacción del manuscrito.</w:t>
      </w:r>
    </w:p>
    <w:p>
      <w:pPr>
        <w:spacing w:after="120" w:before="0" w:line="360" w:lineRule="auto"/>
        <w:jc w:val="left"/>
      </w:pPr>
      <w:r>
        <w:rPr>
          <w:rFonts w:ascii="Times New Roman" w:cs="Times New Roman" w:eastAsia="Times New Roman" w:hAnsi="Times New Roman"/>
          <w:sz w:val="24"/>
          <w:szCs w:val="24"/>
        </w:rPr>
        <w:t xml:space="preserve">Autor de correspondencia: Dr. Roberto Inza | Correo electrónico: </w:t>
      </w:r>
      <w:r>
        <w:rPr>
          <w:rFonts w:ascii="Times New Roman" w:cs="Times New Roman" w:eastAsia="Times New Roman" w:hAnsi="Times New Roman"/>
          <w:i/>
          <w:iCs/>
          <w:sz w:val="24"/>
          <w:szCs w:val="24"/>
        </w:rPr>
        <w:t xml:space="preserve">robertoinza@gmail.com</w:t>
      </w:r>
    </w:p>
    <w:p>
      <w:pPr>
        <w:spacing w:line="360"/>
      </w:pPr>
      <w:r>
        <w:rPr>
          <w:rFonts w:ascii="Times New Roman" w:cs="Times New Roman" w:eastAsia="Times New Roman" w:hAnsi="Times New Roman"/>
          <w:sz w:val="24"/>
          <w:szCs w:val="24"/>
        </w:rPr>
        <w:t xml:space="preserve"/>
      </w:r>
    </w:p>
    <w:p>
      <w:pPr>
        <w:spacing w:after="60" w:before="120" w:line="360" w:lineRule="auto"/>
        <w:jc w:val="left"/>
      </w:pPr>
      <w:r>
        <w:rPr>
          <w:rFonts w:ascii="Times New Roman" w:cs="Times New Roman" w:eastAsia="Times New Roman" w:hAnsi="Times New Roman"/>
          <w:b/>
          <w:bCs/>
          <w:sz w:val="24"/>
          <w:szCs w:val="24"/>
        </w:rPr>
        <w:t xml:space="preserve">Resumen estructurado (español):</w:t>
      </w:r>
    </w:p>
    <w:p>
      <w:pPr>
        <w:spacing w:after="120" w:before="0" w:line="360" w:lineRule="auto"/>
        <w:jc w:val="left"/>
      </w:pPr>
      <w:r>
        <w:rPr>
          <w:rFonts w:ascii="Times New Roman" w:cs="Times New Roman" w:eastAsia="Times New Roman" w:hAnsi="Times New Roman"/>
          <w:b/>
          <w:bCs/>
          <w:sz w:val="24"/>
          <w:szCs w:val="24"/>
        </w:rPr>
        <w:t xml:space="preserve">Introducción: </w:t>
      </w:r>
      <w:r>
        <w:rPr>
          <w:rFonts w:ascii="Times New Roman" w:cs="Times New Roman" w:eastAsia="Times New Roman" w:hAnsi="Times New Roman"/>
          <w:sz w:val="24"/>
          <w:szCs w:val="24"/>
        </w:rPr>
        <w:t xml:space="preserve">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pPr>
        <w:spacing w:after="120" w:before="0" w:line="360" w:lineRule="auto"/>
        <w:jc w:val="left"/>
      </w:pPr>
      <w:r>
        <w:rPr>
          <w:rFonts w:ascii="Times New Roman" w:cs="Times New Roman" w:eastAsia="Times New Roman" w:hAnsi="Times New Roman"/>
          <w:b/>
          <w:bCs/>
          <w:sz w:val="24"/>
          <w:szCs w:val="24"/>
        </w:rPr>
        <w:t xml:space="preserve">Métodos: </w:t>
      </w:r>
      <w:r>
        <w:rPr>
          <w:rFonts w:ascii="Times New Roman" w:cs="Times New Roman" w:eastAsia="Times New Roman" w:hAnsi="Times New Roman"/>
          <w:sz w:val="24"/>
          <w:szCs w:val="24"/>
        </w:rPr>
        <w:t xml:space="preserve">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pPr>
        <w:spacing w:after="120" w:before="0" w:line="360" w:lineRule="auto"/>
        <w:jc w:val="left"/>
      </w:pPr>
      <w:r>
        <w:rPr>
          <w:rFonts w:ascii="Times New Roman" w:cs="Times New Roman" w:eastAsia="Times New Roman" w:hAnsi="Times New Roman"/>
          <w:b/>
          <w:bCs/>
          <w:sz w:val="24"/>
          <w:szCs w:val="24"/>
        </w:rPr>
        <w:t xml:space="preserve">Resultados: </w:t>
      </w:r>
      <w:r>
        <w:rPr>
          <w:rFonts w:ascii="Times New Roman" w:cs="Times New Roman" w:eastAsia="Times New Roman" w:hAnsi="Times New Roman"/>
          <w:sz w:val="24"/>
          <w:szCs w:val="24"/>
        </w:rPr>
        <w:t xml:space="preserve">Se identificaron cinco fenotipos morfológicos reproducibles (C1–C5) con diferencias en profundidad, dinámica temporal y respuesta autonómica. El ARI fue ortogonal a la severidad hipóxica (ρ=0.034) y diferenció noches con carga hipóxica equivalente (p&lt;0.001 para ganancia de FC). La validación multi-noche confirmó estabilidad creciente: el ICC del ODI3 escaló de 0.70 (una noche) a 0.99 (14 noches); el ARI presentó error absoluto medio por debajo del umbral operacional desde la primera noche de registro.</w:t>
      </w:r>
    </w:p>
    <w:p>
      <w:pPr>
        <w:spacing w:after="120" w:before="0" w:line="360" w:lineRule="auto"/>
        <w:jc w:val="left"/>
      </w:pPr>
      <w:r>
        <w:rPr>
          <w:rFonts w:ascii="Times New Roman" w:cs="Times New Roman" w:eastAsia="Times New Roman" w:hAnsi="Times New Roman"/>
          <w:b/>
          <w:bCs/>
          <w:sz w:val="24"/>
          <w:szCs w:val="24"/>
        </w:rPr>
        <w:t xml:space="preserve">Conclusión: </w:t>
      </w:r>
      <w:r>
        <w:rPr>
          <w:rFonts w:ascii="Times New Roman" w:cs="Times New Roman" w:eastAsia="Times New Roman" w:hAnsi="Times New Roman"/>
          <w:sz w:val="24"/>
          <w:szCs w:val="24"/>
        </w:rPr>
        <w:t xml:space="preserve">La heterogeneidad morfológica y la respuesta autonómica constituyen dimensiones fisiopatológicas complementarias a los índices convencionales, cuantificables mediante monitoreo ambulatorio domiciliario.</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Palabras clave (español): </w:t>
      </w:r>
      <w:r>
        <w:rPr>
          <w:rFonts w:ascii="Times New Roman" w:cs="Times New Roman" w:eastAsia="Times New Roman" w:hAnsi="Times New Roman"/>
          <w:sz w:val="24"/>
          <w:szCs w:val="24"/>
        </w:rPr>
        <w:t xml:space="preserve">trastornos respiratorios del sueño; fenotipado morfológico; apnea del sueño; índice de respuesta autonómica; oximetría domiciliaria; análisis basado en datos</w:t>
      </w:r>
    </w:p>
    <w:p>
      <w:pPr>
        <w:spacing w:line="360"/>
      </w:pPr>
      <w:r>
        <w:rPr>
          <w:rFonts w:ascii="Times New Roman" w:cs="Times New Roman" w:eastAsia="Times New Roman" w:hAnsi="Times New Roman"/>
          <w:sz w:val="24"/>
          <w:szCs w:val="24"/>
        </w:rPr>
        <w:t xml:space="preserve"/>
      </w:r>
    </w:p>
    <w:p>
      <w:pPr>
        <w:spacing w:after="60" w:before="120" w:line="360" w:lineRule="auto"/>
        <w:jc w:val="left"/>
      </w:pPr>
      <w:r>
        <w:rPr>
          <w:rFonts w:ascii="Times New Roman" w:cs="Times New Roman" w:eastAsia="Times New Roman" w:hAnsi="Times New Roman"/>
          <w:b/>
          <w:bCs/>
          <w:sz w:val="24"/>
          <w:szCs w:val="24"/>
        </w:rPr>
        <w:t xml:space="preserve">Structured Abstract (English):</w:t>
      </w:r>
    </w:p>
    <w:p>
      <w:pPr>
        <w:spacing w:after="120" w:before="0" w:line="360" w:lineRule="auto"/>
        <w:jc w:val="left"/>
      </w:pPr>
      <w:r>
        <w:rPr>
          <w:rFonts w:ascii="Times New Roman" w:cs="Times New Roman" w:eastAsia="Times New Roman" w:hAnsi="Times New Roman"/>
          <w:b/>
          <w:bCs/>
          <w:sz w:val="24"/>
          <w:szCs w:val="24"/>
        </w:rPr>
        <w:t xml:space="preserve">Introduction: </w:t>
      </w:r>
      <w:r>
        <w:rPr>
          <w:rFonts w:ascii="Times New Roman" w:cs="Times New Roman" w:eastAsia="Times New Roman" w:hAnsi="Times New Roman"/>
          <w:sz w:val="24"/>
          <w:szCs w:val="24"/>
        </w:rPr>
        <w:t xml:space="preserve">Sleep-disordered breathing is diagnosed primarily through global frequency indices such as the apnea-hypopnea index (AHI) and oxygen desaturation index (ODI), which do not capture the morphological heterogeneity of individual oxygen desaturation events (ODEs).</w:t>
      </w:r>
    </w:p>
    <w:p>
      <w:pPr>
        <w:spacing w:after="120" w:before="0" w:line="360" w:lineRule="auto"/>
        <w:jc w:val="left"/>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A data-driven framework was applied to characterize 85,277 ODEs from 560 home-monitoring nights across 12 patients recorded with the SOMNI 6000 device (ANMAT-approved), integrating SpO₂ curve morphology with heart rate (HR) and movement (MOV) signals. Principal component analysis (PCA) and K-means clustering were used for morphological phenotyping. An Autonomic Response Index (ARI), orthogonal to hypoxic severity, was developed. Multi-night reproducibility was assessed via intraclass correlation coefficient (ICC) and Bland–Altman analysis.</w:t>
      </w:r>
    </w:p>
    <w:p>
      <w:pPr>
        <w:spacing w:after="120" w:before="0" w:line="360" w:lineRule="auto"/>
        <w:jc w:val="left"/>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Five reproducible morphological phenotypes (C1–C5) were identified, differing in depth, temporal dynamics, and autonomic response. The ARI was orthogonal to hypoxic severity (ρ=0.034) and differentiated nights with equivalent hypoxic load (p&lt;0.001 for heart rate gain). Multi-night validation confirmed increasing stability: ODI3 ICC scaled from 0.70 (one night) to 0.99 (14 nights); ARI mean absolute error was already below the operational threshold from a single recording night.</w:t>
      </w:r>
    </w:p>
    <w:p>
      <w:pPr>
        <w:spacing w:after="120" w:before="0" w:line="360" w:lineRule="auto"/>
        <w:jc w:val="left"/>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Morphological heterogeneity and autonomic response represent pathophysiological dimensions complementary to conventional sleep-disordered breathing indices, measurable from ambulatory home monitoring.</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Keywords (English): </w:t>
      </w:r>
      <w:r>
        <w:rPr>
          <w:rFonts w:ascii="Times New Roman" w:cs="Times New Roman" w:eastAsia="Times New Roman" w:hAnsi="Times New Roman"/>
          <w:sz w:val="24"/>
          <w:szCs w:val="24"/>
        </w:rPr>
        <w:t xml:space="preserve">sleep-disordered breathing; morphological phenotyping; obstructive sleep apnea; autonomic response index; home oximetry; data-driven analysis</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Declaración de conflictos de intereses: </w:t>
      </w:r>
      <w:r>
        <w:rPr>
          <w:rFonts w:ascii="Times New Roman" w:cs="Times New Roman" w:eastAsia="Times New Roman" w:hAnsi="Times New Roman"/>
          <w:sz w:val="24"/>
          <w:szCs w:val="24"/>
        </w:rPr>
        <w:t xml:space="preserve">Los autores declaran no tener conflictos de intereses relevantes en relación con el contenido de este manuscrito.</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Consideraciones éticas: </w:t>
      </w:r>
      <w:r>
        <w:rPr>
          <w:rFonts w:ascii="Times New Roman" w:cs="Times New Roman" w:eastAsia="Times New Roman" w:hAnsi="Times New Roman"/>
          <w:sz w:val="24"/>
          <w:szCs w:val="24"/>
        </w:rPr>
        <w:t xml:space="preserve">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pPr>
        <w:spacing w:line="360"/>
      </w:pPr>
      <w:r>
        <w:rPr>
          <w:rFonts w:ascii="Times New Roman" w:cs="Times New Roman" w:eastAsia="Times New Roman" w:hAnsi="Times New Roman"/>
          <w:sz w:val="24"/>
          <w:szCs w:val="24"/>
        </w:rPr>
        <w:t xml:space="preserve"/>
      </w:r>
    </w:p>
    <w:p>
      <w:r>
        <w:br w:type="page"/>
      </w:r>
    </w:p>
    <w:p>
      <w:pPr>
        <w:spacing w:after="60" w:before="0" w:line="360" w:lineRule="auto"/>
        <w:jc w:val="center"/>
      </w:pPr>
      <w:r>
        <w:rPr>
          <w:rFonts w:ascii="Times New Roman" w:cs="Times New Roman" w:eastAsia="Times New Roman" w:hAnsi="Times New Roman"/>
          <w:b/>
          <w:bCs/>
          <w:sz w:val="24"/>
          <w:szCs w:val="24"/>
        </w:rPr>
        <w:t xml:space="preserve">TEXTO PRINCIPAL</w:t>
      </w:r>
    </w:p>
    <w:p>
      <w:pPr>
        <w:spacing w:after="240" w:before="0" w:line="360" w:lineRule="auto"/>
        <w:jc w:val="center"/>
      </w:pPr>
      <w:r>
        <w:rPr>
          <w:rFonts w:ascii="Times New Roman" w:cs="Times New Roman" w:eastAsia="Times New Roman" w:hAnsi="Times New Roman"/>
          <w:i/>
          <w:iCs/>
          <w:sz w:val="24"/>
          <w:szCs w:val="24"/>
        </w:rPr>
        <w:t xml:space="preserve">(Deidentificado — sin datos de autores)</w:t>
      </w:r>
    </w:p>
    <w:p>
      <w:pPr>
        <w:spacing w:after="60" w:before="0" w:line="360" w:lineRule="auto"/>
        <w:jc w:val="center"/>
      </w:pPr>
      <w:r>
        <w:rPr>
          <w:rFonts w:ascii="Times New Roman" w:cs="Times New Roman" w:eastAsia="Times New Roman" w:hAnsi="Times New Roman"/>
          <w:b/>
          <w:bCs/>
          <w:sz w:val="24"/>
          <w:szCs w:val="24"/>
        </w:rPr>
        <w:t xml:space="preserve">Fenotipado morfológico y respuesta autonómica en eventos de desaturación nocturna: un enfoque basado en datos más allá de los índices clásicos</w:t>
      </w:r>
    </w:p>
    <w:p>
      <w:pPr>
        <w:spacing w:after="240" w:before="0" w:line="360" w:lineRule="auto"/>
        <w:jc w:val="center"/>
      </w:pPr>
      <w:r>
        <w:rPr>
          <w:rFonts w:ascii="Times New Roman" w:cs="Times New Roman" w:eastAsia="Times New Roman" w:hAnsi="Times New Roman"/>
          <w:i/>
          <w:iCs/>
          <w:sz w:val="24"/>
          <w:szCs w:val="24"/>
        </w:rPr>
        <w:t xml:space="preserve">Data-driven morphotyping of nocturnal oxygen desaturation events reveals distinct autonomic response phenotypes beyond traditional severity indices</w:t>
      </w:r>
    </w:p>
    <w:p>
      <w:pPr>
        <w:pStyle w:val="Heading1"/>
        <w:spacing w:after="120" w:before="240" w:line="360" w:lineRule="auto"/>
        <w:jc w:val="left"/>
      </w:pPr>
      <w:r>
        <w:rPr>
          <w:rFonts w:ascii="Times New Roman" w:cs="Times New Roman" w:eastAsia="Times New Roman" w:hAnsi="Times New Roman"/>
          <w:b/>
          <w:bCs/>
          <w:sz w:val="24"/>
          <w:szCs w:val="24"/>
        </w:rPr>
        <w:t xml:space="preserve">Resumen / Abstract</w:t>
      </w:r>
    </w:p>
    <w:p>
      <w:pPr>
        <w:spacing w:after="120" w:before="0" w:line="360" w:lineRule="auto"/>
        <w:jc w:val="left"/>
      </w:pPr>
      <w:r>
        <w:rPr>
          <w:rFonts w:ascii="Times New Roman" w:cs="Times New Roman" w:eastAsia="Times New Roman" w:hAnsi="Times New Roman"/>
          <w:b/>
          <w:bCs/>
          <w:sz w:val="24"/>
          <w:szCs w:val="24"/>
        </w:rPr>
        <w:t xml:space="preserve">Introducción: </w:t>
      </w:r>
      <w:r>
        <w:rPr>
          <w:rFonts w:ascii="Times New Roman" w:cs="Times New Roman" w:eastAsia="Times New Roman" w:hAnsi="Times New Roman"/>
          <w:sz w:val="24"/>
          <w:szCs w:val="24"/>
        </w:rPr>
        <w:t xml:space="preserve">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pPr>
        <w:spacing w:after="120" w:before="0" w:line="360" w:lineRule="auto"/>
        <w:jc w:val="left"/>
      </w:pPr>
      <w:r>
        <w:rPr>
          <w:rFonts w:ascii="Times New Roman" w:cs="Times New Roman" w:eastAsia="Times New Roman" w:hAnsi="Times New Roman"/>
          <w:b/>
          <w:bCs/>
          <w:sz w:val="24"/>
          <w:szCs w:val="24"/>
        </w:rPr>
        <w:t xml:space="preserve">Métodos: </w:t>
      </w:r>
      <w:r>
        <w:rPr>
          <w:rFonts w:ascii="Times New Roman" w:cs="Times New Roman" w:eastAsia="Times New Roman" w:hAnsi="Times New Roman"/>
          <w:sz w:val="24"/>
          <w:szCs w:val="24"/>
        </w:rPr>
        <w:t xml:space="preserve">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pPr>
        <w:spacing w:after="120" w:before="0" w:line="360" w:lineRule="auto"/>
        <w:jc w:val="left"/>
      </w:pPr>
      <w:r>
        <w:rPr>
          <w:rFonts w:ascii="Times New Roman" w:cs="Times New Roman" w:eastAsia="Times New Roman" w:hAnsi="Times New Roman"/>
          <w:b/>
          <w:bCs/>
          <w:sz w:val="24"/>
          <w:szCs w:val="24"/>
        </w:rPr>
        <w:t xml:space="preserve">Resultados: </w:t>
      </w:r>
      <w:r>
        <w:rPr>
          <w:rFonts w:ascii="Times New Roman" w:cs="Times New Roman" w:eastAsia="Times New Roman" w:hAnsi="Times New Roman"/>
          <w:sz w:val="24"/>
          <w:szCs w:val="24"/>
        </w:rPr>
        <w:t xml:space="preserve">Se identificaron cinco fenotipos morfológicos reproducibles (C1–C5) con diferencias en profundidad, dinámica temporal y respuesta autonómica. El ARI fue ortogonal a la severidad hipóxica (ρ=0.034) y diferenció noches con carga hipóxica equivalente (p&lt;0.001 para ganancia de FC). El ICC del ODI3 escaló de 0.70 a 0.99 (14 noches); el ARI presentó MAE por debajo del umbral operacional desde la primera noche.</w:t>
      </w:r>
    </w:p>
    <w:p>
      <w:pPr>
        <w:spacing w:after="120" w:before="0" w:line="360" w:lineRule="auto"/>
        <w:jc w:val="left"/>
      </w:pPr>
      <w:r>
        <w:rPr>
          <w:rFonts w:ascii="Times New Roman" w:cs="Times New Roman" w:eastAsia="Times New Roman" w:hAnsi="Times New Roman"/>
          <w:b/>
          <w:bCs/>
          <w:sz w:val="24"/>
          <w:szCs w:val="24"/>
        </w:rPr>
        <w:t xml:space="preserve">Conclusión: </w:t>
      </w:r>
      <w:r>
        <w:rPr>
          <w:rFonts w:ascii="Times New Roman" w:cs="Times New Roman" w:eastAsia="Times New Roman" w:hAnsi="Times New Roman"/>
          <w:sz w:val="24"/>
          <w:szCs w:val="24"/>
        </w:rPr>
        <w:t xml:space="preserve">La heterogeneidad morfológica y la respuesta autonómica constituyen dimensiones fisiopatológicas complementarias a los índices convencionales, cuantificables mediante monitoreo ambulatorio domiciliario.</w:t>
      </w:r>
    </w:p>
    <w:p>
      <w:pPr>
        <w:spacing w:after="120" w:before="0" w:line="360" w:lineRule="auto"/>
        <w:jc w:val="left"/>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sz w:val="24"/>
          <w:szCs w:val="24"/>
        </w:rPr>
        <w:t xml:space="preserve">trastornos respiratorios del sueño; fenotipado morfológico; apnea del sueño; índice de respuesta autonómica; oximetría domiciliaria; análisis basado en datos</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Introduction: </w:t>
      </w:r>
      <w:r>
        <w:rPr>
          <w:rFonts w:ascii="Times New Roman" w:cs="Times New Roman" w:eastAsia="Times New Roman" w:hAnsi="Times New Roman"/>
          <w:sz w:val="24"/>
          <w:szCs w:val="24"/>
        </w:rPr>
        <w:t xml:space="preserve">Sleep-disordered breathing is diagnosed primarily through global frequency indices such as the apnea-hypopnea index (AHI) and oxygen desaturation index (ODI), which do not capture the morphological heterogeneity of individual oxygen desaturation events (ODEs).</w:t>
      </w:r>
    </w:p>
    <w:p>
      <w:pPr>
        <w:spacing w:after="120" w:before="0" w:line="360" w:lineRule="auto"/>
        <w:jc w:val="left"/>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A data-driven framework was applied to characterize 85,277 ODEs from 560 home-monitoring nights across 12 patients recorded with the SOMNI 6000 device (ANMAT-approved), integrating SpO₂ curve morphology with heart rate (HR) and movement (MOV) signals. PCA and K-means clustering were used for morphological phenotyping. An Autonomic Response Index (ARI), orthogonal to hypoxic severity, was developed. Multi-night reproducibility was assessed via ICC and Bland–Altman analysis.</w:t>
      </w:r>
    </w:p>
    <w:p>
      <w:pPr>
        <w:spacing w:after="120" w:before="0" w:line="360" w:lineRule="auto"/>
        <w:jc w:val="left"/>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Five reproducible morphological phenotypes (C1–C5) were identified, differing in depth, temporal dynamics, and autonomic response. The ARI was orthogonal to hypoxic severity (ρ=0.034) and differentiated nights with equivalent hypoxic load (p&lt;0.001 for heart rate gain). ODI3 ICC scaled from 0.70 (one night) to 0.99 (14 nights); ARI mean absolute error was already below the operational threshold from a single recording night.</w:t>
      </w:r>
    </w:p>
    <w:p>
      <w:pPr>
        <w:spacing w:after="120" w:before="0" w:line="360" w:lineRule="auto"/>
        <w:jc w:val="left"/>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Morphological heterogeneity and autonomic response represent pathophysiological dimensions complementary to conventional sleep-disordered breathing indices, measurable from ambulatory home monitoring.</w:t>
      </w:r>
    </w:p>
    <w:p>
      <w:pPr>
        <w:spacing w:after="120" w:before="0" w:line="360" w:lineRule="auto"/>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sleep-disordered breathing; morphological phenotyping; obstructive sleep apnea; autonomic response index; home oximetry; data-driven analysis</w:t>
      </w:r>
    </w:p>
    <w:p>
      <w:pPr>
        <w:spacing w:line="360"/>
      </w:pPr>
      <w:r>
        <w:rPr>
          <w:rFonts w:ascii="Times New Roman" w:cs="Times New Roman" w:eastAsia="Times New Roman" w:hAnsi="Times New Roman"/>
          <w:sz w:val="24"/>
          <w:szCs w:val="24"/>
        </w:rPr>
        <w:t xml:space="preserve"/>
      </w:r>
    </w:p>
    <w:p>
      <w:pPr>
        <w:pStyle w:val="Heading1"/>
        <w:spacing w:after="120" w:before="240" w:line="360" w:lineRule="auto"/>
        <w:jc w:val="left"/>
      </w:pPr>
      <w:r>
        <w:rPr>
          <w:rFonts w:ascii="Times New Roman" w:cs="Times New Roman" w:eastAsia="Times New Roman" w:hAnsi="Times New Roman"/>
          <w:b/>
          <w:bCs/>
          <w:sz w:val="24"/>
          <w:szCs w:val="24"/>
        </w:rPr>
        <w:t xml:space="preserve">1. Introducción</w:t>
      </w:r>
    </w:p>
    <w:p>
      <w:pPr>
        <w:spacing w:after="120" w:before="0" w:line="360" w:lineRule="auto"/>
        <w:jc w:val="left"/>
      </w:pPr>
      <w:r>
        <w:rPr>
          <w:rFonts w:ascii="Times New Roman" w:cs="Times New Roman" w:eastAsia="Times New Roman" w:hAnsi="Times New Roman"/>
          <w:sz w:val="24"/>
          <w:szCs w:val="24"/>
        </w:rPr>
        <w:t xml:space="preserve">El síndrome de apnea obstructiva del sueño (SAOS) afecta al 10–30% de la población adulta de mediana edad y constituye un factor de riesgo independiente para hipertensión, enfermedad cardiovascular, diabetes tipo 2 y mortalidad por todas las causas.1,2,3 Su diagnóstico se basa desde hace décadas en el índice de apnea-hipopnea (AHI) y en métricas derivadas como el índice de desaturación de oxígeno (ODI) y el tiempo con saturación inferior al 90% (T90).4 Si bien estos parámetros ofrecen una cuantificación reproducible de la carga respiratoria nocturna, presentan limitaciones conceptuales: homogenizan eventos fisiológicamente heterogéneos, perdiendo información clínicamente relevante sobre la dinámica individual de cada episodio.</w:t>
      </w:r>
    </w:p>
    <w:p>
      <w:pPr>
        <w:spacing w:after="120" w:before="0" w:line="360" w:lineRule="auto"/>
        <w:jc w:val="left"/>
      </w:pPr>
      <w:r>
        <w:rPr>
          <w:rFonts w:ascii="Times New Roman" w:cs="Times New Roman" w:eastAsia="Times New Roman" w:hAnsi="Times New Roman"/>
          <w:sz w:val="24"/>
          <w:szCs w:val="24"/>
        </w:rPr>
        <w:t xml:space="preserve">Desde una perspectiva fisiopatológica, no todos los eventos de desaturación son equivalentes. Un evento con caída de SpO₂ de 4 puntos porcentuales (pp) y recuperación rápida con taquicardia acompañante es fisiológicamente distinto de uno con caída de 15 pp, recuperación lenta y silencio autonómico; sin embargo, ambos contribuyen por igual al ODI. Esta homogeneización puede explicar, al menos en parte, por qué el AHI presenta capacidad predictiva modesta para desenlaces cardiovasculares cuando se lo analiza de forma aislada.5,6</w:t>
      </w:r>
    </w:p>
    <w:p>
      <w:pPr>
        <w:spacing w:after="120" w:before="0" w:line="360" w:lineRule="auto"/>
        <w:jc w:val="left"/>
      </w:pPr>
      <w:r>
        <w:rPr>
          <w:rFonts w:ascii="Times New Roman" w:cs="Times New Roman" w:eastAsia="Times New Roman" w:hAnsi="Times New Roman"/>
          <w:sz w:val="24"/>
          <w:szCs w:val="24"/>
        </w:rPr>
        <w:t xml:space="preserve">La carga hipóxica (hypoxic burden), definida como el área bajo la curva de SpO₂ durante los eventos respiratorios, se ha asociado con mortalidad cardiovascular de forma independiente al AHI.5 Esta evidencia refuerza el argumento de que la dinámica temporal de cada evento contiene información clínica relevante. Los avances en monitoreo domiciliario7 permiten estudiar esta dinámica de forma longitudinal en condiciones ecológicamente válidas.</w:t>
      </w:r>
    </w:p>
    <w:p>
      <w:pPr>
        <w:spacing w:after="120" w:before="0" w:line="360" w:lineRule="auto"/>
        <w:jc w:val="left"/>
      </w:pPr>
      <w:r>
        <w:rPr>
          <w:rFonts w:ascii="Times New Roman" w:cs="Times New Roman" w:eastAsia="Times New Roman" w:hAnsi="Times New Roman"/>
          <w:sz w:val="24"/>
          <w:szCs w:val="24"/>
        </w:rPr>
        <w:t xml:space="preserve">La pregunta clínica que guía este trabajo es simple: ¿pueden los eventos de desaturación nocturna contener información fisiológica relevante que los índices clásicos no muestran? A partir de esa pregunta, el presente trabajo propone un marco analítico basado en datos con tres objetivos específicos: (1) identificar fenotipos morfológicos reproducibles de los eventos de desaturación de oxígeno (EDO) mediante técnicas no supervisadas; (2) desarrollar un Índice de Respuesta Autonómica (ARI) que capture la respuesta del organismo ante cada evento, independientemente de la profundidad de la caída de oxígeno; y (3) validar la estabilidad y reproducibilidad de las métricas propuestas en mediciones repetidas de distintas noches del mismo paciente.</w:t>
      </w:r>
    </w:p>
    <w:p>
      <w:pPr>
        <w:pStyle w:val="Heading1"/>
        <w:spacing w:after="120" w:before="240" w:line="360" w:lineRule="auto"/>
        <w:jc w:val="left"/>
      </w:pPr>
      <w:r>
        <w:rPr>
          <w:rFonts w:ascii="Times New Roman" w:cs="Times New Roman" w:eastAsia="Times New Roman" w:hAnsi="Times New Roman"/>
          <w:b/>
          <w:bCs/>
          <w:sz w:val="24"/>
          <w:szCs w:val="24"/>
        </w:rPr>
        <w:t xml:space="preserve">2. Materiales y Métodos</w:t>
      </w:r>
    </w:p>
    <w:p>
      <w:pPr>
        <w:pStyle w:val="Heading2"/>
        <w:spacing w:after="80" w:before="180" w:line="360" w:lineRule="auto"/>
        <w:jc w:val="left"/>
      </w:pPr>
      <w:r>
        <w:rPr>
          <w:rFonts w:ascii="Times New Roman" w:cs="Times New Roman" w:eastAsia="Times New Roman" w:hAnsi="Times New Roman"/>
          <w:b/>
          <w:bCs/>
          <w:sz w:val="24"/>
          <w:szCs w:val="24"/>
        </w:rPr>
        <w:t xml:space="preserve">2.1 Diseño del estudio y cohorte</w:t>
      </w:r>
    </w:p>
    <w:p>
      <w:pPr>
        <w:spacing w:after="120" w:before="0" w:line="360" w:lineRule="auto"/>
        <w:jc w:val="left"/>
      </w:pPr>
      <w:r>
        <w:rPr>
          <w:rFonts w:ascii="Times New Roman" w:cs="Times New Roman" w:eastAsia="Times New Roman" w:hAnsi="Times New Roman"/>
          <w:sz w:val="24"/>
          <w:szCs w:val="24"/>
        </w:rPr>
        <w:t xml:space="preserve">Se realizó un análisis retrospectivo observacional de señales fisiológicas nocturnas adquiridas en entorno domiciliario. La cohorte incluyó 12 pacientes y 560 noches en total. Los pacientes utilizaron un oxímetro portátil (SOMNI 6000) durante el sueño en su domicilio habitual. Este dispositivo portátil de uso domiciliario, aprobado por ANMAT, integra un pulsioxímetro y un estimulador eléctrico transcutáneo en un único sensor de dedo no invasivo, registrando SpO₂ y frecuencia de pulso (asimilable a FC) en continuo a 1 Hz con transmisión vía Bluetooth LE. El diseño de monitoreo ambulatorio permite obtener registros nocturnos repetidos con alta resolución temporal y sin las restricciones propias del laboratorio de sueño.7 Las señales incluyeron SpO₂ a 1 Hz, FC y nivel de movimiento (MOV); duración media del registro: 5.8 ± 1.5 horas.</w:t>
      </w:r>
    </w:p>
    <w:p>
      <w:pPr>
        <w:pStyle w:val="Heading2"/>
        <w:spacing w:after="80" w:before="180" w:line="360" w:lineRule="auto"/>
        <w:jc w:val="left"/>
      </w:pPr>
      <w:r>
        <w:rPr>
          <w:rFonts w:ascii="Times New Roman" w:cs="Times New Roman" w:eastAsia="Times New Roman" w:hAnsi="Times New Roman"/>
          <w:b/>
          <w:bCs/>
          <w:sz w:val="24"/>
          <w:szCs w:val="24"/>
        </w:rPr>
        <w:t xml:space="preserve">2.2 Pipeline PAC_v3 y detección de eventos</w:t>
      </w:r>
    </w:p>
    <w:p>
      <w:pPr>
        <w:spacing w:after="120" w:before="0" w:line="360" w:lineRule="auto"/>
        <w:jc w:val="left"/>
      </w:pPr>
      <w:r>
        <w:rPr>
          <w:rFonts w:ascii="Times New Roman" w:cs="Times New Roman" w:eastAsia="Times New Roman" w:hAnsi="Times New Roman"/>
          <w:sz w:val="24"/>
          <w:szCs w:val="24"/>
        </w:rPr>
        <w:t xml:space="preserve">Los datos fueron procesados con el pipeline PAC_v3 (Programa Análisis Continuo), sistema modular desarrollado ad hoc que incluye etapas de control de calidad, normalización de señales, detección de eventos y consolidación de métricas. Un EDO se definió como caída de SpO₂ ≥3 pp respecto al basal local (mediana en ventana de 300 s previos), duración ≥10 s, con recuperación al 90% del basal. Cada curva fue remuestreada a 30 puntos equiespaciados para permitir comparación morfológica entre eventos de distinta duración.</w:t>
      </w:r>
    </w:p>
    <w:p>
      <w:pPr>
        <w:pStyle w:val="Heading2"/>
        <w:spacing w:after="80" w:before="180" w:line="360" w:lineRule="auto"/>
        <w:jc w:val="left"/>
      </w:pPr>
      <w:r>
        <w:rPr>
          <w:rFonts w:ascii="Times New Roman" w:cs="Times New Roman" w:eastAsia="Times New Roman" w:hAnsi="Times New Roman"/>
          <w:b/>
          <w:bCs/>
          <w:sz w:val="24"/>
          <w:szCs w:val="24"/>
        </w:rPr>
        <w:t xml:space="preserve">2.3 Análisis morfológico y ARI</w:t>
      </w:r>
    </w:p>
    <w:p>
      <w:pPr>
        <w:spacing w:after="120" w:before="0" w:line="360" w:lineRule="auto"/>
        <w:jc w:val="left"/>
      </w:pPr>
      <w:r>
        <w:rPr>
          <w:rFonts w:ascii="Times New Roman" w:cs="Times New Roman" w:eastAsia="Times New Roman" w:hAnsi="Times New Roman"/>
          <w:sz w:val="24"/>
          <w:szCs w:val="24"/>
        </w:rPr>
        <w:t xml:space="preserve">El análisis morfológico se realizó en dos etapas sobre las 85.277 curvas normalizadas. Primero, se aplicó PCA para reducir cada curva de 30 puntos a un espacio de menor dimensión (tres componentes explicaron el 83.9% de la varianza total). Sobre ese espacio reducido se aplicó K-means,11 seleccionando k=5 mediante el criterio del codo y la métrica de Silhouette, que evalúa la cohesión interna de cada grupo y su separación respecto a los demás.</w:t>
      </w:r>
    </w:p>
    <w:p>
      <w:pPr>
        <w:spacing w:after="120" w:before="0" w:line="360" w:lineRule="auto"/>
        <w:jc w:val="left"/>
      </w:pPr>
      <w:r>
        <w:rPr>
          <w:rFonts w:ascii="Times New Roman" w:cs="Times New Roman" w:eastAsia="Times New Roman" w:hAnsi="Times New Roman"/>
          <w:sz w:val="24"/>
          <w:szCs w:val="24"/>
        </w:rPr>
        <w:t xml:space="preserve">El Índice de Respuesta Autonómica (ARI) se definió como:</w:t>
      </w:r>
    </w:p>
    <w:p>
      <w:pPr>
        <w:spacing w:after="120" w:before="120" w:line="360" w:lineRule="auto"/>
        <w:jc w:val="center"/>
      </w:pPr>
      <w:r>
        <w:rPr>
          <w:rFonts w:ascii="Times New Roman" w:cs="Times New Roman" w:eastAsia="Times New Roman" w:hAnsi="Times New Roman"/>
          <w:i/>
          <w:iCs/>
          <w:sz w:val="24"/>
          <w:szCs w:val="24"/>
        </w:rPr>
        <w:t xml:space="preserve">ARI = 0.6 · Pct(ΔHR / ΔSpO₂) + 0.4 · Pct(ΔMov / ΔSpO₂)   (1)</w:t>
      </w:r>
    </w:p>
    <w:p>
      <w:pPr>
        <w:spacing w:after="120" w:before="0" w:line="360" w:lineRule="auto"/>
        <w:jc w:val="left"/>
      </w:pPr>
      <w:r>
        <w:rPr>
          <w:rFonts w:ascii="Times New Roman" w:cs="Times New Roman" w:eastAsia="Times New Roman" w:hAnsi="Times New Roman"/>
          <w:sz w:val="24"/>
          <w:szCs w:val="24"/>
        </w:rPr>
        <w:t xml:space="preserve">donde Pct(x) indica el rango percentil de x dentro de la distribución de eventos del propio paciente: transforma cada cociente en un valor entre 0 y 1, donde 0 representa la mínima respuesta registrada y 1 la máxima, permitiendo comparar entre pacientes con distintas magnitudes absolutas de respuesta.</w:t>
      </w:r>
    </w:p>
    <w:p>
      <w:pPr>
        <w:spacing w:after="120" w:before="0" w:line="360" w:lineRule="auto"/>
        <w:jc w:val="left"/>
      </w:pPr>
      <w:r>
        <w:rPr>
          <w:rFonts w:ascii="Times New Roman" w:cs="Times New Roman" w:eastAsia="Times New Roman" w:hAnsi="Times New Roman"/>
          <w:sz w:val="24"/>
          <w:szCs w:val="24"/>
        </w:rPr>
        <w:t xml:space="preserve">En términos prácticos, el ARI mide cuánto responden el corazón y el cuerpo ante cada caída de oxígeno, en proporción a la magnitud de esa caída. Un ARI alto indica una respuesta autonómica eficiente; un ARI bajo, una respuesta atenuada o ausente. El índice se calcula únicamente sobre eventos con caída real de SpO₂ (84.248 de los 85.277 detectados), y se expresa en una escala adimensional entre 0 y 1 que permite comparar entre pacientes. Los pesos 0.6/0.4 reflejan la mayor contribución informativa del componente cardíaco respecto al movimiento.</w:t>
      </w:r>
    </w:p>
    <w:p>
      <w:pPr>
        <w:pStyle w:val="Heading2"/>
        <w:spacing w:after="80" w:before="180" w:line="360" w:lineRule="auto"/>
        <w:jc w:val="left"/>
      </w:pPr>
      <w:r>
        <w:rPr>
          <w:rFonts w:ascii="Times New Roman" w:cs="Times New Roman" w:eastAsia="Times New Roman" w:hAnsi="Times New Roman"/>
          <w:b/>
          <w:bCs/>
          <w:sz w:val="24"/>
          <w:szCs w:val="24"/>
        </w:rPr>
        <w:t xml:space="preserve">2.4 Validación interna multi-noche</w:t>
      </w:r>
    </w:p>
    <w:p>
      <w:pPr>
        <w:spacing w:after="120" w:before="0" w:line="360" w:lineRule="auto"/>
        <w:jc w:val="left"/>
      </w:pPr>
      <w:r>
        <w:rPr>
          <w:rFonts w:ascii="Times New Roman" w:cs="Times New Roman" w:eastAsia="Times New Roman" w:hAnsi="Times New Roman"/>
          <w:sz w:val="24"/>
          <w:szCs w:val="24"/>
        </w:rPr>
        <w:t xml:space="preserve">En ausencia de polisomnografía (PSG) como estándar externo, la validación se centró en tres preguntas prácticas: ¿qué tan consistente es el resultado de una noche a otra en el mismo paciente?; ¿cuánto error se comete al estimar el índice con una sola noche en lugar de promediar muchas?; y ¿a partir de cuántas noches el resultado se vuelve estable y confiable?12,13 Para cada pregunta se utilizaron métodos estadísticos estándar de reproducibilidad longitudinal (n=7 pacientes con ≥14 noches válidas): el coeficiente de correlación intraclase (ICC, que varía entre 0 y 1: valores próximos a 1 indican alta reproducibilidad entre noches; valores próximos a 0, alta variabilidad) y el análisis de Bland-Altman. La severidad nocturna se clasificó según el ODI3: Leve (&lt;5 ev/h), Moderado (5–15), Grave (15–30) y Muy grave (≥30).</w:t>
      </w:r>
    </w:p>
    <w:p>
      <w:pPr>
        <w:pStyle w:val="Heading1"/>
        <w:spacing w:after="120" w:before="240" w:line="360" w:lineRule="auto"/>
        <w:jc w:val="left"/>
      </w:pPr>
      <w:r>
        <w:rPr>
          <w:rFonts w:ascii="Times New Roman" w:cs="Times New Roman" w:eastAsia="Times New Roman" w:hAnsi="Times New Roman"/>
          <w:b/>
          <w:bCs/>
          <w:sz w:val="24"/>
          <w:szCs w:val="24"/>
        </w:rPr>
        <w:t xml:space="preserve">3. Resultados</w:t>
      </w:r>
    </w:p>
    <w:p>
      <w:pPr>
        <w:pStyle w:val="Heading2"/>
        <w:spacing w:after="80" w:before="180" w:line="360" w:lineRule="auto"/>
        <w:jc w:val="left"/>
      </w:pPr>
      <w:r>
        <w:rPr>
          <w:rFonts w:ascii="Times New Roman" w:cs="Times New Roman" w:eastAsia="Times New Roman" w:hAnsi="Times New Roman"/>
          <w:b/>
          <w:bCs/>
          <w:sz w:val="24"/>
          <w:szCs w:val="24"/>
        </w:rPr>
        <w:t xml:space="preserve">3.1 Descripción de la cohorte</w:t>
      </w:r>
    </w:p>
    <w:p>
      <w:pPr>
        <w:spacing w:after="120" w:before="0" w:line="360" w:lineRule="auto"/>
        <w:jc w:val="left"/>
      </w:pPr>
      <w:r>
        <w:rPr>
          <w:rFonts w:ascii="Times New Roman" w:cs="Times New Roman" w:eastAsia="Times New Roman" w:hAnsi="Times New Roman"/>
          <w:sz w:val="24"/>
          <w:szCs w:val="24"/>
        </w:rPr>
        <w:t xml:space="preserve">La cohorte incluyó 12 pacientes con 560 noches y 85.277 EDOs con morfotipo asignado (98.8% del total detectado). La distribución de severidad fue: Leve 5.2%, Moderado 46.2%, Grave 38.9%, Muy grave 9.6% —cohorte sesgada hacia carga moderada-grave, no representativa de la distribución poblacional—. La Tabla 1 resume los índices nocturnos.</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Tabla 1. Estadísticos descriptivos de índices nocturnos (560 noches).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900"/>
        <w:gridCol w:w="900"/>
        <w:gridCol w:w="1100"/>
        <w:gridCol w:w="1000"/>
      </w:tblGrid>
      <w:tr>
        <w:trPr>
          <w:tblHeader/>
        </w:trPr>
        <w:tc>
          <w:tcPr>
            <w:tcW w:type="dxa" w:w="22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Índice</w:t>
            </w:r>
          </w:p>
        </w:tc>
        <w:tc>
          <w:tcPr>
            <w:tcW w:type="dxa" w:w="13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Media</w:t>
            </w:r>
          </w:p>
        </w:tc>
        <w:tc>
          <w:tcPr>
            <w:tcW w:type="dxa" w:w="12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DE</w:t>
            </w:r>
          </w:p>
        </w:tc>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CV%</w:t>
            </w:r>
          </w:p>
        </w:tc>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Mín</w:t>
            </w:r>
          </w:p>
        </w:tc>
        <w:tc>
          <w:tcPr>
            <w:tcW w:type="dxa" w:w="11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P50</w:t>
            </w:r>
          </w:p>
        </w:tc>
        <w:tc>
          <w:tcPr>
            <w:tcW w:type="dxa" w:w="10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Máx</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ODI3 (ev/h)</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17.9</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14.1</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78.6</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1.8</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14.6</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98.6</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T90 (%)</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3.8</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8.2</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215.3</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0.0</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1.8</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91.5</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SpO₂ mín (%)</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70.5</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8.7</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12.4</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55.0</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71.0</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88.0</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SpO₂ media (%)</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93.7</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1.4</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1.5</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78.0</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93.9</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96.4</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FC media (lpm)</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61.3</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5.5</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9.0</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48.2</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61.4</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100.8</w:t>
            </w:r>
          </w:p>
        </w:tc>
      </w:tr>
    </w:tbl>
    <w:p>
      <w:pPr>
        <w:spacing w:after="180" w:before="60" w:line="300"/>
      </w:pPr>
      <w:r>
        <w:rPr>
          <w:rFonts w:ascii="Times New Roman" w:cs="Times New Roman" w:eastAsia="Times New Roman" w:hAnsi="Times New Roman"/>
          <w:i/>
          <w:iCs/>
          <w:sz w:val="22"/>
          <w:szCs w:val="22"/>
        </w:rPr>
        <w:t xml:space="preserve">ODI: índice de desaturación; T90: fracción de tiempo SpO₂&lt;90%; DE: desviación estándar; P50: mediana.</w:t>
      </w:r>
    </w:p>
    <w:p>
      <w:pPr>
        <w:pStyle w:val="Heading2"/>
        <w:spacing w:after="80" w:before="180" w:line="360" w:lineRule="auto"/>
        <w:jc w:val="left"/>
      </w:pPr>
      <w:r>
        <w:rPr>
          <w:rFonts w:ascii="Times New Roman" w:cs="Times New Roman" w:eastAsia="Times New Roman" w:hAnsi="Times New Roman"/>
          <w:b/>
          <w:bCs/>
          <w:sz w:val="24"/>
          <w:szCs w:val="24"/>
        </w:rPr>
        <w:t xml:space="preserve">3.2 Estructura morfológica de los eventos</w:t>
      </w:r>
    </w:p>
    <w:p>
      <w:pPr>
        <w:spacing w:after="120" w:before="0" w:line="360" w:lineRule="auto"/>
        <w:jc w:val="left"/>
      </w:pPr>
      <w:r>
        <w:rPr>
          <w:rFonts w:ascii="Times New Roman" w:cs="Times New Roman" w:eastAsia="Times New Roman" w:hAnsi="Times New Roman"/>
          <w:sz w:val="24"/>
          <w:szCs w:val="24"/>
        </w:rPr>
        <w:t xml:space="preserve">El análisis de las 85.277 curvas de desaturación mostró que la forma de cada evento puede resumirse en tres características que, en conjunto, explican el 83.9% de las diferencias entre eventos: la profundidad de la caída, la asimetría entre la fase de descenso y la de recuperación, y la posición temporal del punto más bajo dentro del evento. Esto confirma que los eventos no son aleatorios sino que siguen patrones reproducibles, y que el agrupamiento en cinco morfotipos captura esa variabilidad de forma coherente y visualmente clara (Figura 1).</w:t>
      </w:r>
    </w:p>
    <w:p>
      <w:pPr>
        <w:pStyle w:val="Heading2"/>
        <w:spacing w:after="80" w:before="180" w:line="360" w:lineRule="auto"/>
        <w:jc w:val="left"/>
      </w:pPr>
      <w:r>
        <w:rPr>
          <w:rFonts w:ascii="Times New Roman" w:cs="Times New Roman" w:eastAsia="Times New Roman" w:hAnsi="Times New Roman"/>
          <w:b/>
          <w:bCs/>
          <w:sz w:val="24"/>
          <w:szCs w:val="24"/>
        </w:rPr>
        <w:t xml:space="preserve">3.3 Fenotipos morfológicos C1–C5</w:t>
      </w:r>
    </w:p>
    <w:p>
      <w:pPr>
        <w:spacing w:after="120" w:before="0" w:line="360" w:lineRule="auto"/>
        <w:jc w:val="left"/>
      </w:pPr>
      <w:r>
        <w:rPr>
          <w:rFonts w:ascii="Times New Roman" w:cs="Times New Roman" w:eastAsia="Times New Roman" w:hAnsi="Times New Roman"/>
          <w:sz w:val="24"/>
          <w:szCs w:val="24"/>
        </w:rPr>
        <w:t xml:space="preserve">El K-means identificó cinco morfotipos con características diferenciadas. La Tabla 2 resume sus propiedades y la Figura 2 muestra las curvas promedio (±1 DE) y la distribución de frecuencias. La selección de k=5 se fundamentó en mayor granularidad fisiológica respecto a valores menores de k, que colapsan morfotipos con dinámicas temporales distintas.</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Tabla 2. Características de los cinco morfotipos (85.277 eventos).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500"/>
        <w:gridCol w:w="1500"/>
        <w:gridCol w:w="2200"/>
        <w:gridCol w:w="900"/>
      </w:tblGrid>
      <w:tr>
        <w:trPr>
          <w:tblHeader/>
        </w:trPr>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Cluster</w:t>
            </w:r>
          </w:p>
        </w:tc>
        <w:tc>
          <w:tcPr>
            <w:tcW w:type="dxa" w:w="18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n (% total)</w:t>
            </w:r>
          </w:p>
        </w:tc>
        <w:tc>
          <w:tcPr>
            <w:tcW w:type="dxa" w:w="15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Nadir ΔSpO₂</w:t>
            </w:r>
          </w:p>
        </w:tc>
        <w:tc>
          <w:tcPr>
            <w:tcW w:type="dxa" w:w="15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ICC inter-noche</w:t>
            </w:r>
          </w:p>
        </w:tc>
        <w:tc>
          <w:tcPr>
            <w:tcW w:type="dxa" w:w="22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Descripción</w:t>
            </w:r>
          </w:p>
        </w:tc>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Cat.</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C1</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55.175 (64.7%)</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-1.7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0.601</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Basal subcrítico</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Bajo</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C2</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21.318 (25.0%)</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-3.8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0.682</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Leve a moderado</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Bajo</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C3</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3.662  (4.3%)</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-7.9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0.419</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Profundo simétrico (nadir 25%)</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Alto</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C4</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4.301  (5.0%)</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-8.6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0.476</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Profundo tardío (nadir 75%)</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Alto</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C5</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821    (1.0%)</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-15.3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0.505</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Severo prolongado</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Alto</w:t>
            </w:r>
          </w:p>
        </w:tc>
      </w:tr>
    </w:tbl>
    <w:p>
      <w:pPr>
        <w:spacing w:after="180" w:before="60" w:line="300"/>
      </w:pPr>
      <w:r>
        <w:rPr>
          <w:rFonts w:ascii="Times New Roman" w:cs="Times New Roman" w:eastAsia="Times New Roman" w:hAnsi="Times New Roman"/>
          <w:i/>
          <w:iCs/>
          <w:sz w:val="22"/>
          <w:szCs w:val="22"/>
        </w:rPr>
        <w:t xml:space="preserve">ICC(1,1): coeficiente de correlación intraclase inter-noche; pp: puntos porcentuales.</w:t>
      </w:r>
    </w:p>
    <w:p>
      <w:pPr>
        <w:spacing w:after="120" w:before="0" w:line="360" w:lineRule="auto"/>
        <w:jc w:val="left"/>
      </w:pPr>
      <w:r>
        <w:rPr>
          <w:rFonts w:ascii="Times New Roman" w:cs="Times New Roman" w:eastAsia="Times New Roman" w:hAnsi="Times New Roman"/>
          <w:sz w:val="24"/>
          <w:szCs w:val="24"/>
        </w:rPr>
        <w:t xml:space="preserve">La distribución de eventos es marcadamente asimétrica: C1 y C2 concentran el 89.7% de los casos. C3 presenta un nadir temprano al 25% del evento (−7.9 pp); C4, una desaturación progresiva con nadir tardío al 75% (−8.6 pp); C5, una desaturación severa y prolongada (−15.3 pp). La distinción entre C3 y C4 —nadires de profundidad similar pero en posiciones temporales opuestas— es invisible para cualquier índice basado exclusivamente en amplitud o duración.</w:t>
      </w:r>
    </w:p>
    <w:p>
      <w:pPr>
        <w:pStyle w:val="Heading2"/>
        <w:spacing w:after="80" w:before="180" w:line="360" w:lineRule="auto"/>
        <w:jc w:val="left"/>
      </w:pPr>
      <w:r>
        <w:rPr>
          <w:rFonts w:ascii="Times New Roman" w:cs="Times New Roman" w:eastAsia="Times New Roman" w:hAnsi="Times New Roman"/>
          <w:b/>
          <w:bCs/>
          <w:sz w:val="24"/>
          <w:szCs w:val="24"/>
        </w:rPr>
        <w:t xml:space="preserve">3.4 ARI como dimensión fisiológica ortogonal</w:t>
      </w:r>
    </w:p>
    <w:p>
      <w:pPr>
        <w:spacing w:after="120" w:before="0" w:line="360" w:lineRule="auto"/>
        <w:jc w:val="left"/>
      </w:pPr>
      <w:r>
        <w:rPr>
          <w:rFonts w:ascii="Times New Roman" w:cs="Times New Roman" w:eastAsia="Times New Roman" w:hAnsi="Times New Roman"/>
          <w:sz w:val="24"/>
          <w:szCs w:val="24"/>
        </w:rPr>
        <w:t xml:space="preserve">El hallazgo práctico es que la severidad de la caída de oxígeno y la respuesta autonómica no son lo mismo. El ARI no guarda relación con cuán profunda fue la caída de oxígeno: la correlación entre ambas variables es prácticamente nula (ρ=0.034; el coeficiente ρ varía entre −1 y +1, donde 0 indica ausencia total de relación). En términos clínicos concretos, conocer la severidad del evento no permite predecir el ARI, ni viceversa. Un paciente con muchos eventos severos puede tener una respuesta autonómica completamente preservada; otro con eventos leves puede mostrarla completamente atenuada. Esto se confirma también al intentar usar el ARI para distinguir eventos severos de no severos: el resultado es prácticamente indistinguible del azar (AUC=0.453, Figura 4), confirmando la ausencia de relación predictiva. La Figura 5 ilustra visualmente esta independencia: el ARI se mantiene prácticamente constante (0.44–0.52) sin importar cuál sea el morfotipo.</w:t>
      </w:r>
    </w:p>
    <w:p>
      <w:pPr>
        <w:pStyle w:val="Heading2"/>
        <w:spacing w:after="80" w:before="180" w:line="360" w:lineRule="auto"/>
        <w:jc w:val="left"/>
      </w:pPr>
      <w:r>
        <w:rPr>
          <w:rFonts w:ascii="Times New Roman" w:cs="Times New Roman" w:eastAsia="Times New Roman" w:hAnsi="Times New Roman"/>
          <w:b/>
          <w:bCs/>
          <w:sz w:val="24"/>
          <w:szCs w:val="24"/>
        </w:rPr>
        <w:t xml:space="preserve">3.5 Perfiles fisiológicos multimodales</w:t>
      </w:r>
    </w:p>
    <w:p>
      <w:pPr>
        <w:spacing w:after="120" w:before="0" w:line="360" w:lineRule="auto"/>
        <w:jc w:val="left"/>
      </w:pPr>
      <w:r>
        <w:rPr>
          <w:rFonts w:ascii="Times New Roman" w:cs="Times New Roman" w:eastAsia="Times New Roman" w:hAnsi="Times New Roman"/>
          <w:sz w:val="24"/>
          <w:szCs w:val="24"/>
        </w:rPr>
        <w:t xml:space="preserve">La ganancia de FC (ΔHR/ΔSpO₂, es decir, cuántos latidos por minuto aumenta el corazón por cada punto porcentual que cae la SpO₂) fue decreciente con la severidad del cluster: C1=0.63, C2=0.53, C3=0.21, C4=0.31, C5=0.04 lpm/pp. Llamativamente, C5 exhibe prácticamente respuesta nula (silencio autonómico) a pesar de nadires de −15.3 pp. La Tabla 3 resume los valores de ARI y ganancia de FC por morfotipo. Estos hallazgos sugieren que, ante una caída severa de oxígeno, la ausencia de respuesta autonómica no refleja un evento menos grave sino, al contrario, un sistema que ya no estaría reaccionando.</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Tabla 3. ARI y ganancia de FC por morfotipo.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400"/>
        <w:gridCol w:w="1600"/>
        <w:gridCol w:w="3200"/>
      </w:tblGrid>
      <w:tr>
        <w:trPr>
          <w:tblHeader/>
        </w:trPr>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Cluster</w:t>
            </w:r>
          </w:p>
        </w:tc>
        <w:tc>
          <w:tcPr>
            <w:tcW w:type="dxa" w:w="17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ARI media ± DE</w:t>
            </w:r>
          </w:p>
        </w:tc>
        <w:tc>
          <w:tcPr>
            <w:tcW w:type="dxa" w:w="14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ARI mediana</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Ganancia FC (lpm/pp)</w:t>
            </w:r>
          </w:p>
        </w:tc>
        <w:tc>
          <w:tcPr>
            <w:tcW w:type="dxa" w:w="32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Interpretación autonómica</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C1</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0.491 ± 0.205</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0.502</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0.633</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Respuesta proporcional normal</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C2</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0.526 ± 0.185</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0.522</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0.528</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Respuesta activa, levemente elevada</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C3</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0.509 ± 0.146</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0.490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0.209</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Respuesta atenuada</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C4</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0.489 ± 0.143</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0.480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0.307</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Respuesta reducida</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C5</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0.422 ± 0.105</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0.431</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0.040</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Silencio autonómico</w:t>
            </w:r>
          </w:p>
        </w:tc>
      </w:tr>
    </w:tbl>
    <w:p>
      <w:pPr>
        <w:spacing w:after="180" w:before="60" w:line="300"/>
      </w:pPr>
      <w:r>
        <w:rPr>
          <w:rFonts w:ascii="Times New Roman" w:cs="Times New Roman" w:eastAsia="Times New Roman" w:hAnsi="Times New Roman"/>
          <w:i/>
          <w:iCs/>
          <w:sz w:val="22"/>
          <w:szCs w:val="22"/>
        </w:rPr>
        <w:t xml:space="preserve">ARI: Índice de Respuesta Autonómica (0–1). Ganancia FC: ΔHR/ΔSpO₂ (lpm/pp).</w:t>
      </w:r>
    </w:p>
    <w:p>
      <w:pPr>
        <w:pStyle w:val="Heading2"/>
        <w:spacing w:after="80" w:before="180" w:line="360" w:lineRule="auto"/>
        <w:jc w:val="left"/>
      </w:pPr>
      <w:r>
        <w:rPr>
          <w:rFonts w:ascii="Times New Roman" w:cs="Times New Roman" w:eastAsia="Times New Roman" w:hAnsi="Times New Roman"/>
          <w:b/>
          <w:bCs/>
          <w:sz w:val="24"/>
          <w:szCs w:val="24"/>
        </w:rPr>
        <w:t xml:space="preserve">3.6 Validación clínica del ARI: análisis intra-estrato</w:t>
      </w:r>
    </w:p>
    <w:p>
      <w:pPr>
        <w:spacing w:after="120" w:before="0" w:line="360" w:lineRule="auto"/>
        <w:jc w:val="left"/>
      </w:pPr>
      <w:r>
        <w:rPr>
          <w:rFonts w:ascii="Times New Roman" w:cs="Times New Roman" w:eastAsia="Times New Roman" w:hAnsi="Times New Roman"/>
          <w:sz w:val="24"/>
          <w:szCs w:val="24"/>
        </w:rPr>
        <w:t xml:space="preserve">El análisis intra-estrato evaluó si el ARI discrimina entre noches dentro de cada estrato de severidad definido por ODI3. La ganancia de FC fue consistentemente mayor en el subgrupo ARI alto en los cuatro estratos (p&lt;0.001 en todos los casos, Figura 6a), confirmando que el ARI captura una dimensión autonómica independiente de la severidad hipóxica. La fracción de eventos C4+C5 fue significativamente menor en el subgrupo ARI alto en los estratos Moderado (p&lt;0.001) y Muy grave (p&lt;0.01). El T90 fue significativamente menor en ARI alto en los estratos Leve (p&lt;0.01) y Moderado (p&lt;0.001). En conjunto, estos resultados sugieren que el ARI permite estratificar el riesgo autonómico dentro de cada nivel convencional de severidad: dos pacientes con igual ODI3 pero distinto ARI presentan respuestas cardiovasculares significativamente diferentes, información que el ODI3 por sí solo no captura.</w:t>
      </w:r>
    </w:p>
    <w:p>
      <w:pPr>
        <w:pStyle w:val="Heading2"/>
        <w:spacing w:after="80" w:before="180" w:line="360" w:lineRule="auto"/>
        <w:jc w:val="left"/>
      </w:pPr>
      <w:r>
        <w:rPr>
          <w:rFonts w:ascii="Times New Roman" w:cs="Times New Roman" w:eastAsia="Times New Roman" w:hAnsi="Times New Roman"/>
          <w:b/>
          <w:bCs/>
          <w:sz w:val="24"/>
          <w:szCs w:val="24"/>
        </w:rPr>
        <w:t xml:space="preserve">3.7 Relación con la severidad nocturna</w:t>
      </w:r>
    </w:p>
    <w:p>
      <w:pPr>
        <w:spacing w:after="120" w:before="0" w:line="360" w:lineRule="auto"/>
        <w:jc w:val="left"/>
      </w:pPr>
      <w:r>
        <w:rPr>
          <w:rFonts w:ascii="Times New Roman" w:cs="Times New Roman" w:eastAsia="Times New Roman" w:hAnsi="Times New Roman"/>
          <w:sz w:val="24"/>
          <w:szCs w:val="24"/>
        </w:rPr>
        <w:t xml:space="preserve">A nivel nocturno, el ARI y el ODI3 muestran solo una asociación débil: aunque hay una leve tendencia a menor respuesta autonómica en las noches con más eventos, el ODI3 explica menos del 7% del ARI. La Tabla 4 lo ilustra con claridad: mientras el ODI3 se multiplica por once entre el estrato Leve y el Muy grave (de 3.8 a 40.9 ev/h), el ARI medio apenas varía de 0.519 a 0.486. Dos pacientes en extremos opuestos de severidad hipóxica pueden tener prácticamente el mismo ARI. Esto confirma que ambos índices miden dimensiones distintas de la misma enfermedad.</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Tabla 4. Métricas morfológicas y autonómicas por estrato de severidad (medianas).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tblGrid>
      <w:tr>
        <w:trPr>
          <w:tblHeader/>
        </w:trPr>
        <w:tc>
          <w:tcPr>
            <w:tcW w:type="dxa" w:w="20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Métrica</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Leve (n=29)</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Moderado (n=259)</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Grave (n=218)</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Muy grave (n=54)</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ODI3 (ev/h)</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3.8</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10.2</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20.1</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40.9</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T90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0.3</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1.2</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2.7</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12.3</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Frac C1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83.7%</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73.8%</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66.7%</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43.4%</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Frac C4+C5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1.6%</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4.4%</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9.7%</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ARI medio</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0.519</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0.518</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0.470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0.486</w:t>
            </w:r>
          </w:p>
        </w:tc>
      </w:tr>
    </w:tbl>
    <w:p>
      <w:pPr>
        <w:spacing w:after="180" w:before="60" w:line="300"/>
      </w:pPr>
      <w:r>
        <w:rPr>
          <w:rFonts w:ascii="Times New Roman" w:cs="Times New Roman" w:eastAsia="Times New Roman" w:hAnsi="Times New Roman"/>
          <w:i/>
          <w:iCs/>
          <w:sz w:val="22"/>
          <w:szCs w:val="22"/>
        </w:rPr>
        <w:t xml:space="preserve">Leve: ODI3&lt;5 ev/h; Moderado: 5–15; Grave: 15–30; Muy grave: ≥30.</w:t>
      </w:r>
    </w:p>
    <w:p>
      <w:pPr>
        <w:pStyle w:val="Heading2"/>
        <w:spacing w:after="80" w:before="180" w:line="360" w:lineRule="auto"/>
        <w:jc w:val="left"/>
      </w:pPr>
      <w:r>
        <w:rPr>
          <w:rFonts w:ascii="Times New Roman" w:cs="Times New Roman" w:eastAsia="Times New Roman" w:hAnsi="Times New Roman"/>
          <w:b/>
          <w:bCs/>
          <w:sz w:val="24"/>
          <w:szCs w:val="24"/>
        </w:rPr>
        <w:t xml:space="preserve">3.8 Validación interna y estabilidad multi-noche</w:t>
      </w:r>
    </w:p>
    <w:p>
      <w:pPr>
        <w:spacing w:after="120" w:before="0" w:line="360" w:lineRule="auto"/>
        <w:jc w:val="left"/>
      </w:pPr>
      <w:r>
        <w:rPr>
          <w:rFonts w:ascii="Times New Roman" w:cs="Times New Roman" w:eastAsia="Times New Roman" w:hAnsi="Times New Roman"/>
          <w:sz w:val="24"/>
          <w:szCs w:val="24"/>
        </w:rPr>
        <w:t xml:space="preserve">Para el ODI3, la concordancia entre noches mejora progresivamente con la acumulación de registros: moderada con una sola noche (ICC=0.70) y prácticamente perfecta con 14 noches (ICC=0.99). El error de estimación cae de 5.3 a 1.5 ev/h, y la clasificación de severidad resulta 100% concordante a partir de la tercera noche (Figura 7). En la práctica, esto significa que tres noches de registro domiciliario son suficientes para clasificar correctamente a un paciente como Leve, Moderado, Grave o Muy grave.</w:t>
      </w:r>
    </w:p>
    <w:p>
      <w:pPr>
        <w:spacing w:after="120" w:before="0" w:line="360" w:lineRule="auto"/>
        <w:jc w:val="left"/>
      </w:pPr>
      <w:r>
        <w:rPr>
          <w:rFonts w:ascii="Times New Roman" w:cs="Times New Roman" w:eastAsia="Times New Roman" w:hAnsi="Times New Roman"/>
          <w:sz w:val="24"/>
          <w:szCs w:val="24"/>
        </w:rPr>
        <w:t xml:space="preserve">El ARI se estabiliza aún más rápido: desde la primera noche su error de estimación está ya por debajo del umbral clínicamente relevante, y la comparación entre una noche y el promedio de muchas no muestra sesgo sistemático (Figura 8). En términos prácticos, una sola noche de registro con el SOMNI 6000 en el domicilio es suficiente para conocer el ARI del paciente de forma confiable, sin necesidad de estudios repetidos ni de laboratorio de sueño.</w:t>
      </w:r>
    </w:p>
    <w:p>
      <w:pPr>
        <w:pStyle w:val="Heading1"/>
        <w:spacing w:after="120" w:before="240" w:line="360" w:lineRule="auto"/>
        <w:jc w:val="left"/>
      </w:pPr>
      <w:r>
        <w:rPr>
          <w:rFonts w:ascii="Times New Roman" w:cs="Times New Roman" w:eastAsia="Times New Roman" w:hAnsi="Times New Roman"/>
          <w:b/>
          <w:bCs/>
          <w:sz w:val="24"/>
          <w:szCs w:val="24"/>
        </w:rPr>
        <w:t xml:space="preserve">4. Discusión</w:t>
      </w:r>
    </w:p>
    <w:p>
      <w:pPr>
        <w:spacing w:after="120" w:before="0" w:line="360" w:lineRule="auto"/>
        <w:jc w:val="left"/>
      </w:pPr>
      <w:r>
        <w:rPr>
          <w:rFonts w:ascii="Times New Roman" w:cs="Times New Roman" w:eastAsia="Times New Roman" w:hAnsi="Times New Roman"/>
          <w:sz w:val="24"/>
          <w:szCs w:val="24"/>
        </w:rPr>
        <w:t xml:space="preserve">El mensaje central de los resultados es que los EDOs no son todos iguales. Presentan una organización morfológica estructurada, describible con tres características independientes —la profundidad de la caída, el momento en que ocurre el nadir y la velocidad de recuperación— que en conjunto explican el 83.9% de la variabilidad entre eventos, y que el K-means captura en cinco fenotipos reproducibles. El hallazgo morfológicamente más relevante es la distinción entre C3 y C4: ambos presentan nadires similares (−7.9 vs. −8.6 pp) pero difieren radicalmente en la posición temporal del nadir (25% vs. 75% de la duración del evento). Esta distinción, invisible para cualquier índice basado en amplitud o duración, puede tener implicancias fisiopatológicas en términos de latencia del arousal respiratorio y respuesta cardiovascular. Este enfoque es coherente con el marco de endotipos fisiopatológicos propuesto por Eckert et al.,10 quienes identificaron mecanismos causales del SAOS —umbral de arousal, bucle de ganancia, tono muscular— que determinan la expresión clínica del síndrome.</w:t>
      </w:r>
    </w:p>
    <w:p>
      <w:pPr>
        <w:spacing w:after="120" w:before="0" w:line="360" w:lineRule="auto"/>
        <w:jc w:val="left"/>
      </w:pPr>
      <w:r>
        <w:rPr>
          <w:rFonts w:ascii="Times New Roman" w:cs="Times New Roman" w:eastAsia="Times New Roman" w:hAnsi="Times New Roman"/>
          <w:sz w:val="24"/>
          <w:szCs w:val="24"/>
        </w:rPr>
        <w:t xml:space="preserve">La propuesta del ARI como eje autonómico ortogonal a la severidad hipóxica (ρ=0.034) constituye la contribución conceptual central. El análisis intra-estrato, donde el ARI diferencia pacientes con ODI3 equivalente en términos de ganancia de FC, fracción de eventos severos y T90, sugiere la existencia de dos dimensiones fisiopatológicas independientes en el SAOS: la carga hipóxica (ODI, T90, hypoxic burden) y la eficiencia de la respuesta autonómica (ARI). Esta bidimensionalidad resuena con modelos previos del SAOS como sistema estímulo–respuesta14,15 y podría ser relevante para una estratificación de riesgo más granular, en línea con la evidencia sobre subtipos clínicos del SAOS con implicancias pronósticas distintas.11,18,21</w:t>
      </w:r>
    </w:p>
    <w:p>
      <w:pPr>
        <w:spacing w:after="120" w:before="0" w:line="360" w:lineRule="auto"/>
        <w:jc w:val="left"/>
      </w:pPr>
      <w:r>
        <w:rPr>
          <w:rFonts w:ascii="Times New Roman" w:cs="Times New Roman" w:eastAsia="Times New Roman" w:hAnsi="Times New Roman"/>
          <w:sz w:val="24"/>
          <w:szCs w:val="24"/>
        </w:rPr>
        <w:t xml:space="preserve">El fenómeno del silencio autonómico en C5 —ganancia de FC de 0.04 lpm/pp ante nadires de −15.3 pp— merece atención específica. Una respuesta autonómica severamente enlentecida ante hipoxia severa podría reflejar adaptación crónica del sistema nervioso autónomo, deterioro de la sensibilidad de quimiorreceptores, o fatiga del arco reflejo del arousal.15,16 La activación tónica del quimiorreflejo en el SAOS17,20 puede derivar en daño vascular acumulado;19 sin embargo, su expresión como silencio autonómico sugiere un espectro modulado por la acumulación crónica de exposición hipóxica, potencialmente mediado por los factores inducidos por la hipoxia (HIF).22</w:t>
      </w:r>
    </w:p>
    <w:p>
      <w:pPr>
        <w:spacing w:after="120" w:before="0" w:line="360" w:lineRule="auto"/>
        <w:jc w:val="left"/>
      </w:pPr>
      <w:r>
        <w:rPr>
          <w:rFonts w:ascii="Times New Roman" w:cs="Times New Roman" w:eastAsia="Times New Roman" w:hAnsi="Times New Roman"/>
          <w:sz w:val="24"/>
          <w:szCs w:val="24"/>
        </w:rPr>
        <w:t xml:space="preserve">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concurrente y mayor n son necesarios para validar externamente estas propuestas, incluyendo la correlación de morfotipos con las etapas del sueño y desenlaces cardiovasculares.</w:t>
      </w:r>
    </w:p>
    <w:p>
      <w:pPr>
        <w:pStyle w:val="Heading1"/>
        <w:spacing w:after="120" w:before="240" w:line="360" w:lineRule="auto"/>
        <w:jc w:val="left"/>
      </w:pPr>
      <w:r>
        <w:rPr>
          <w:rFonts w:ascii="Times New Roman" w:cs="Times New Roman" w:eastAsia="Times New Roman" w:hAnsi="Times New Roman"/>
          <w:b/>
          <w:bCs/>
          <w:sz w:val="24"/>
          <w:szCs w:val="24"/>
        </w:rPr>
        <w:t xml:space="preserve">5. Conclusiones</w:t>
      </w:r>
    </w:p>
    <w:p>
      <w:pPr>
        <w:spacing w:after="120" w:before="0" w:line="360" w:lineRule="auto"/>
        <w:jc w:val="left"/>
      </w:pPr>
      <w:r>
        <w:rPr>
          <w:rFonts w:ascii="Times New Roman" w:cs="Times New Roman" w:eastAsia="Times New Roman" w:hAnsi="Times New Roman"/>
          <w:sz w:val="24"/>
          <w:szCs w:val="24"/>
        </w:rPr>
        <w:t xml:space="preserve">Este trabajo demuestra que los eventos de desaturación nocturna no son morfológicamente homogéneos. El análisis no supervisado de 85.277 EDOs provenientes de monitoreo domiciliario identificó cinco fenotipos reproducibles (C1–C5) que difieren en profundidad, dinámica temporal y respuesta autonómica. La distinción entre morfotipos de amplitud similar pero posición temporal del nadir opuesta (C3 vs. C4) y el silencio autonómico ante hipoxia severa (C5, ganancia de FC=0.04 lpm/pp) son hallazgos que ningún índice basado en frecuencia o amplitud es capaz de capturar.</w:t>
      </w:r>
    </w:p>
    <w:p>
      <w:pPr>
        <w:spacing w:after="120" w:before="0" w:line="360" w:lineRule="auto"/>
        <w:jc w:val="left"/>
      </w:pPr>
      <w:r>
        <w:rPr>
          <w:rFonts w:ascii="Times New Roman" w:cs="Times New Roman" w:eastAsia="Times New Roman" w:hAnsi="Times New Roman"/>
          <w:sz w:val="24"/>
          <w:szCs w:val="24"/>
        </w:rPr>
        <w:t xml:space="preserve">El Índice de Respuesta Autonómica propuesto opera en una dimensión fisiológica ortogonal a la severidad hipóxica (ρ=0.034; R²&lt;0.1%). El análisis intra-estrato confirma que aporta información clínicamente relevante dentro de cada estrato convencional de ODI3, con diferencias significativas en ganancia de FC en los cuatro estratos. El fenómeno del silencio autonómico en C5 plantea una hipótesis clínica específica sobre agotamiento del arco reflejo en el SAOS crónico severo, con implicancias terapéuticas y de riesgo cardiovascular que merecen exploración prospectiva.</w:t>
      </w:r>
    </w:p>
    <w:p>
      <w:pPr>
        <w:spacing w:after="120" w:before="0" w:line="360" w:lineRule="auto"/>
        <w:jc w:val="left"/>
      </w:pPr>
      <w:r>
        <w:rPr>
          <w:rFonts w:ascii="Times New Roman" w:cs="Times New Roman" w:eastAsia="Times New Roman" w:hAnsi="Times New Roman"/>
          <w:sz w:val="24"/>
          <w:szCs w:val="24"/>
        </w:rPr>
        <w:t xml:space="preserve">La validación longitudinal confirma que ambas métricas son estables: el ODI3 alcanza concordancia categórica completa a partir de tres noches, y el ARI está por debajo del umbral de error operacional desde la primera noche de registro, sin sesgo sistemático. Los hallazgos presentados no pretenden sustituir los índices convencionales, sino complementarlos con información morfológica y autonómica que permanece oculta en la agregación. La validación externa con PSG concurrente y cohortes de mayor tamaño constituye el paso necesario para evaluar el valor predictivo incremental de este enfoque.</w:t>
      </w:r>
    </w:p>
    <w:p>
      <w:pPr>
        <w:spacing w:after="60" w:before="120" w:line="360" w:lineRule="auto"/>
        <w:jc w:val="left"/>
      </w:pPr>
      <w:r>
        <w:rPr>
          <w:rFonts w:ascii="Times New Roman" w:cs="Times New Roman" w:eastAsia="Times New Roman" w:hAnsi="Times New Roman"/>
          <w:b/>
          <w:bCs/>
          <w:sz w:val="24"/>
          <w:szCs w:val="24"/>
        </w:rPr>
        <w:t xml:space="preserve">Implicancias para la práctica clínica</w:t>
      </w:r>
    </w:p>
    <w:p>
      <w:pPr>
        <w:spacing w:after="120" w:before="0" w:line="360" w:lineRule="auto"/>
        <w:jc w:val="left"/>
      </w:pPr>
      <w:r>
        <w:rPr>
          <w:rFonts w:ascii="Times New Roman" w:cs="Times New Roman" w:eastAsia="Times New Roman" w:hAnsi="Times New Roman"/>
          <w:sz w:val="24"/>
          <w:szCs w:val="24"/>
        </w:rPr>
        <w:t xml:space="preserve">Los hallazgos de este trabajo pueden resumirse en tres mensajes concretos para el clínico:</w:t>
      </w:r>
    </w:p>
    <w:p>
      <w:pPr>
        <w:spacing w:after="120" w:before="0" w:line="360" w:lineRule="auto"/>
        <w:jc w:val="left"/>
      </w:pPr>
      <w:r>
        <w:rPr>
          <w:rFonts w:ascii="Times New Roman" w:cs="Times New Roman" w:eastAsia="Times New Roman" w:hAnsi="Times New Roman"/>
          <w:b/>
          <w:bCs/>
          <w:sz w:val="24"/>
          <w:szCs w:val="24"/>
        </w:rPr>
        <w:t xml:space="preserve">Primero: </w:t>
      </w:r>
      <w:r>
        <w:rPr>
          <w:rFonts w:ascii="Times New Roman" w:cs="Times New Roman" w:eastAsia="Times New Roman" w:hAnsi="Times New Roman"/>
          <w:sz w:val="24"/>
          <w:szCs w:val="24"/>
        </w:rPr>
        <w:t xml:space="preserve">el ODI y el AHI no cuentan toda la historia. Dos pacientes con igual índice de desaturación pueden tener perfiles fisiológicos radicalmente distintos: uno con eventos breves y respuesta cardiovascular activa, otro con desaturaciones prolongadas y silencio autonómico. Tratarlos como equivalentes puede ser un error clínico.</w:t>
      </w:r>
    </w:p>
    <w:p>
      <w:pPr>
        <w:spacing w:after="120" w:before="0" w:line="360" w:lineRule="auto"/>
        <w:jc w:val="left"/>
      </w:pPr>
      <w:r>
        <w:rPr>
          <w:rFonts w:ascii="Times New Roman" w:cs="Times New Roman" w:eastAsia="Times New Roman" w:hAnsi="Times New Roman"/>
          <w:b/>
          <w:bCs/>
          <w:sz w:val="24"/>
          <w:szCs w:val="24"/>
        </w:rPr>
        <w:t xml:space="preserve">Segundo: </w:t>
      </w:r>
      <w:r>
        <w:rPr>
          <w:rFonts w:ascii="Times New Roman" w:cs="Times New Roman" w:eastAsia="Times New Roman" w:hAnsi="Times New Roman"/>
          <w:sz w:val="24"/>
          <w:szCs w:val="24"/>
        </w:rPr>
        <w:t xml:space="preserve">el ARI agrega una capa de información nueva: mide la eficiencia con la que el organismo responde a cada episodio de hipoxia. Un ARI bajo —especialmente en el morfotipo C5— podría identificar a los pacientes con mayor riesgo cardiovascular silencioso, independientemente de cuántos eventos tengan por noche.</w:t>
      </w:r>
    </w:p>
    <w:p>
      <w:pPr>
        <w:spacing w:after="120" w:before="0" w:line="360" w:lineRule="auto"/>
        <w:jc w:val="left"/>
      </w:pPr>
      <w:r>
        <w:rPr>
          <w:rFonts w:ascii="Times New Roman" w:cs="Times New Roman" w:eastAsia="Times New Roman" w:hAnsi="Times New Roman"/>
          <w:b/>
          <w:bCs/>
          <w:sz w:val="24"/>
          <w:szCs w:val="24"/>
        </w:rPr>
        <w:t xml:space="preserve">Tercero: </w:t>
      </w:r>
      <w:r>
        <w:rPr>
          <w:rFonts w:ascii="Times New Roman" w:cs="Times New Roman" w:eastAsia="Times New Roman" w:hAnsi="Times New Roman"/>
          <w:sz w:val="24"/>
          <w:szCs w:val="24"/>
        </w:rPr>
        <w:t xml:space="preserve">en esta cohorte, una sola noche de monitoreo domiciliario con el SOMNI 6000 fue suficiente para estimar ambas métricas de forma confiable, sin necesidad de laboratorio de sueño.</w:t>
      </w:r>
    </w:p>
    <w:p>
      <w:pPr>
        <w:spacing w:after="120" w:before="0" w:line="360" w:lineRule="auto"/>
        <w:jc w:val="left"/>
      </w:pPr>
      <w:r>
        <w:rPr>
          <w:rFonts w:ascii="Times New Roman" w:cs="Times New Roman" w:eastAsia="Times New Roman" w:hAnsi="Times New Roman"/>
          <w:sz w:val="24"/>
          <w:szCs w:val="24"/>
        </w:rPr>
        <w:t xml:space="preserve">Esto no reemplaza a la PSG, que sigue siendo el estándar de referencia para el diagnóstico del SAOS y aporta información adicional —etapas del sueño, microdespertares, eventos obstructivos vs. centrales— que el oxímetro domiciliario no puede proveer. El valor de este enfoque es complementario: agregar información morfológica y autonómica sobre los eventos de desaturación dentro del flujo diagnóstico habitual.</w:t>
      </w:r>
    </w:p>
    <w:p>
      <w:pPr>
        <w:spacing w:after="120" w:before="0" w:line="360" w:lineRule="auto"/>
        <w:jc w:val="left"/>
      </w:pPr>
      <w:r>
        <w:rPr>
          <w:rFonts w:ascii="Times New Roman" w:cs="Times New Roman" w:eastAsia="Times New Roman" w:hAnsi="Times New Roman"/>
          <w:sz w:val="24"/>
          <w:szCs w:val="24"/>
        </w:rPr>
        <w:t xml:space="preserve">El paso siguiente es determinar si estas diferencias fisiológicas se traducen en distintos desenlaces clínicos a largo plazo. Esa pregunta, y su respuesta, justifica los estudios prospectivos que este trabajo pretende motivar.</w:t>
      </w:r>
    </w:p>
    <w:p>
      <w:pPr>
        <w:pStyle w:val="Heading1"/>
        <w:spacing w:after="120" w:before="240" w:line="360" w:lineRule="auto"/>
        <w:jc w:val="left"/>
      </w:pPr>
      <w:r>
        <w:rPr>
          <w:rFonts w:ascii="Times New Roman" w:cs="Times New Roman" w:eastAsia="Times New Roman" w:hAnsi="Times New Roman"/>
          <w:b/>
          <w:bCs/>
          <w:sz w:val="24"/>
          <w:szCs w:val="24"/>
        </w:rPr>
        <w:t xml:space="preserve">Declaraciones</w:t>
      </w:r>
    </w:p>
    <w:p>
      <w:pPr>
        <w:spacing w:after="120" w:before="0" w:line="360" w:lineRule="auto"/>
        <w:jc w:val="left"/>
      </w:pPr>
      <w:r>
        <w:rPr>
          <w:rFonts w:ascii="Times New Roman" w:cs="Times New Roman" w:eastAsia="Times New Roman" w:hAnsi="Times New Roman"/>
          <w:b/>
          <w:bCs/>
          <w:sz w:val="24"/>
          <w:szCs w:val="24"/>
        </w:rPr>
        <w:t xml:space="preserve">Conflictos de intereses: </w:t>
      </w:r>
      <w:r>
        <w:rPr>
          <w:rFonts w:ascii="Times New Roman" w:cs="Times New Roman" w:eastAsia="Times New Roman" w:hAnsi="Times New Roman"/>
          <w:sz w:val="24"/>
          <w:szCs w:val="24"/>
        </w:rPr>
        <w:t xml:space="preserve">Los autores declaran no tener conflictos de intereses relevantes en relación con el contenido de este manuscrito.</w:t>
      </w:r>
    </w:p>
    <w:p>
      <w:pPr>
        <w:spacing w:after="120" w:before="0" w:line="360" w:lineRule="auto"/>
        <w:jc w:val="left"/>
      </w:pPr>
      <w:r>
        <w:rPr>
          <w:rFonts w:ascii="Times New Roman" w:cs="Times New Roman" w:eastAsia="Times New Roman" w:hAnsi="Times New Roman"/>
          <w:b/>
          <w:bCs/>
          <w:sz w:val="24"/>
          <w:szCs w:val="24"/>
        </w:rPr>
        <w:t xml:space="preserve">Consideraciones éticas: </w:t>
      </w:r>
      <w:r>
        <w:rPr>
          <w:rFonts w:ascii="Times New Roman" w:cs="Times New Roman" w:eastAsia="Times New Roman" w:hAnsi="Times New Roman"/>
          <w:sz w:val="24"/>
          <w:szCs w:val="24"/>
        </w:rPr>
        <w:t xml:space="preserve">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pPr>
        <w:pStyle w:val="Heading1"/>
        <w:spacing w:after="120" w:before="240" w:line="360" w:lineRule="auto"/>
        <w:jc w:val="left"/>
      </w:pPr>
      <w:r>
        <w:rPr>
          <w:rFonts w:ascii="Times New Roman" w:cs="Times New Roman" w:eastAsia="Times New Roman" w:hAnsi="Times New Roman"/>
          <w:b/>
          <w:bCs/>
          <w:sz w:val="24"/>
          <w:szCs w:val="24"/>
        </w:rPr>
        <w:t xml:space="preserve">Leyendas de Figuras</w:t>
      </w:r>
    </w:p>
    <w:p>
      <w:pPr>
        <w:spacing w:after="120" w:before="0" w:line="360" w:lineRule="auto"/>
      </w:pPr>
      <w:r>
        <w:rPr>
          <w:rFonts w:ascii="Times New Roman" w:cs="Times New Roman" w:eastAsia="Times New Roman" w:hAnsi="Times New Roman"/>
          <w:i/>
          <w:iCs/>
          <w:sz w:val="24"/>
          <w:szCs w:val="24"/>
        </w:rPr>
        <w:t xml:space="preserve">[Las figuras se adjuntan como archivos separados en formato JPEG/PNG a 300 dpi, nombrados según la página y párrafo del manuscrito donde se ubican.]</w:t>
      </w:r>
    </w:p>
    <w:p>
      <w:pPr>
        <w:spacing w:after="120" w:before="0" w:line="360" w:lineRule="auto"/>
        <w:jc w:val="left"/>
      </w:pPr>
      <w:r>
        <w:rPr>
          <w:rFonts w:ascii="Times New Roman" w:cs="Times New Roman" w:eastAsia="Times New Roman" w:hAnsi="Times New Roman"/>
          <w:b/>
          <w:bCs/>
          <w:sz w:val="24"/>
          <w:szCs w:val="24"/>
        </w:rPr>
        <w:t xml:space="preserve">Figura 1. </w:t>
      </w:r>
      <w:r>
        <w:rPr>
          <w:rFonts w:ascii="Times New Roman" w:cs="Times New Roman" w:eastAsia="Times New Roman" w:hAnsi="Times New Roman"/>
          <w:sz w:val="24"/>
          <w:szCs w:val="24"/>
        </w:rPr>
        <w:t xml:space="preserve">Análisis de componentes principales (PCA) sobre las curvas de SpO₂ normalizadas (85.277 EDOs). Scree plot, perfiles de carga de CP1–CP3 y proyección de eventos en el espacio PCA coloreados por morfotipo; los tres componentes explican el 83.9% de la varianza total.</w:t>
      </w:r>
    </w:p>
    <w:p>
      <w:pPr>
        <w:spacing w:after="120" w:before="0" w:line="360" w:lineRule="auto"/>
        <w:jc w:val="left"/>
      </w:pPr>
      <w:r>
        <w:rPr>
          <w:rFonts w:ascii="Times New Roman" w:cs="Times New Roman" w:eastAsia="Times New Roman" w:hAnsi="Times New Roman"/>
          <w:b/>
          <w:bCs/>
          <w:sz w:val="24"/>
          <w:szCs w:val="24"/>
        </w:rPr>
        <w:t xml:space="preserve">Figura 2. </w:t>
      </w:r>
      <w:r>
        <w:rPr>
          <w:rFonts w:ascii="Times New Roman" w:cs="Times New Roman" w:eastAsia="Times New Roman" w:hAnsi="Times New Roman"/>
          <w:sz w:val="24"/>
          <w:szCs w:val="24"/>
        </w:rPr>
        <w:t xml:space="preserve">Selección del número de clusters y perfiles morfológicos de los EDOs. (a) Silhouette score vs. número de clusters; k=5 seleccionado por interpretabilidad fisiológica. (b) Distribución de eventos por morfotipo. (c) Curvas de SpO₂ normalizada (mediana ± IQR) y centroide por cluster.</w:t>
      </w:r>
    </w:p>
    <w:p>
      <w:pPr>
        <w:spacing w:after="120" w:before="0" w:line="360" w:lineRule="auto"/>
        <w:jc w:val="left"/>
      </w:pPr>
      <w:r>
        <w:rPr>
          <w:rFonts w:ascii="Times New Roman" w:cs="Times New Roman" w:eastAsia="Times New Roman" w:hAnsi="Times New Roman"/>
          <w:b/>
          <w:bCs/>
          <w:sz w:val="24"/>
          <w:szCs w:val="24"/>
        </w:rPr>
        <w:t xml:space="preserve">Figura 3. </w:t>
      </w:r>
      <w:r>
        <w:rPr>
          <w:rFonts w:ascii="Times New Roman" w:cs="Times New Roman" w:eastAsia="Times New Roman" w:hAnsi="Times New Roman"/>
          <w:sz w:val="24"/>
          <w:szCs w:val="24"/>
        </w:rPr>
        <w:t xml:space="preserve">Perfiles de frecuencia cardíaca (A) y movimiento (B) durante los EDOs por morfotipo (mediana ± IQR). C4 exhibe la mayor respuesta de FC (+3.4 lpm) con movimiento moderado; C3 y C5 muestran movimiento elevado con respuesta cardíaca modesta, evidenciando la disociación FC/MOV.</w:t>
      </w:r>
    </w:p>
    <w:p>
      <w:pPr>
        <w:spacing w:after="120" w:before="0" w:line="360" w:lineRule="auto"/>
        <w:jc w:val="left"/>
      </w:pPr>
      <w:r>
        <w:rPr>
          <w:rFonts w:ascii="Times New Roman" w:cs="Times New Roman" w:eastAsia="Times New Roman" w:hAnsi="Times New Roman"/>
          <w:b/>
          <w:bCs/>
          <w:sz w:val="24"/>
          <w:szCs w:val="24"/>
        </w:rPr>
        <w:t xml:space="preserve">Figura 4. </w:t>
      </w:r>
      <w:r>
        <w:rPr>
          <w:rFonts w:ascii="Times New Roman" w:cs="Times New Roman" w:eastAsia="Times New Roman" w:hAnsi="Times New Roman"/>
          <w:sz w:val="24"/>
          <w:szCs w:val="24"/>
        </w:rPr>
        <w:t xml:space="preserve">Curva ROC del ARI para discriminar eventos de morfotipo severo (C4+C5) vs. no severo (C1–C3). AUC=0.453, no superior al azar, confirmando que el ARI no predice la severidad morfológica del evento.</w:t>
      </w:r>
    </w:p>
    <w:p>
      <w:pPr>
        <w:spacing w:after="120" w:before="0" w:line="360" w:lineRule="auto"/>
        <w:jc w:val="left"/>
      </w:pPr>
      <w:r>
        <w:rPr>
          <w:rFonts w:ascii="Times New Roman" w:cs="Times New Roman" w:eastAsia="Times New Roman" w:hAnsi="Times New Roman"/>
          <w:b/>
          <w:bCs/>
          <w:sz w:val="24"/>
          <w:szCs w:val="24"/>
        </w:rPr>
        <w:t xml:space="preserve">Figura 5. </w:t>
      </w:r>
      <w:r>
        <w:rPr>
          <w:rFonts w:ascii="Times New Roman" w:cs="Times New Roman" w:eastAsia="Times New Roman" w:hAnsi="Times New Roman"/>
          <w:sz w:val="24"/>
          <w:szCs w:val="24"/>
        </w:rPr>
        <w:t xml:space="preserve">ARI como dimensión ortogonal. A: mediana del ARI por cluster morfológico (IC 95% bootstrap); rango 0.44–0.52 sin tendencia monótona. B: distribución del ARI vs. severidad morfológica (hexbin, n=84.248); la uniformidad confirma ρ=0.034.</w:t>
      </w:r>
    </w:p>
    <w:p>
      <w:pPr>
        <w:spacing w:after="120" w:before="0" w:line="360" w:lineRule="auto"/>
        <w:jc w:val="left"/>
      </w:pPr>
      <w:r>
        <w:rPr>
          <w:rFonts w:ascii="Times New Roman" w:cs="Times New Roman" w:eastAsia="Times New Roman" w:hAnsi="Times New Roman"/>
          <w:b/>
          <w:bCs/>
          <w:sz w:val="24"/>
          <w:szCs w:val="24"/>
        </w:rPr>
        <w:t xml:space="preserve">Figura 6. </w:t>
      </w:r>
      <w:r>
        <w:rPr>
          <w:rFonts w:ascii="Times New Roman" w:cs="Times New Roman" w:eastAsia="Times New Roman" w:hAnsi="Times New Roman"/>
          <w:sz w:val="24"/>
          <w:szCs w:val="24"/>
        </w:rPr>
        <w:t xml:space="preserve">Análisis intra-estrato: variables clínicas por subgrupo de ARI (alto vs. bajo) dentro de cada estrato ODI3. (a) Ganancia de FC (lpm/pp). (b) Fracción de eventos C4+C5. (c) T90. El ODI3 no difiere entre subgrupos en ningún estrato (ns).</w:t>
      </w:r>
    </w:p>
    <w:p>
      <w:pPr>
        <w:spacing w:after="120" w:before="0" w:line="360" w:lineRule="auto"/>
        <w:jc w:val="left"/>
      </w:pPr>
      <w:r>
        <w:rPr>
          <w:rFonts w:ascii="Times New Roman" w:cs="Times New Roman" w:eastAsia="Times New Roman" w:hAnsi="Times New Roman"/>
          <w:b/>
          <w:bCs/>
          <w:sz w:val="24"/>
          <w:szCs w:val="24"/>
        </w:rPr>
        <w:t xml:space="preserve">Figura 7. </w:t>
      </w:r>
      <w:r>
        <w:rPr>
          <w:rFonts w:ascii="Times New Roman" w:cs="Times New Roman" w:eastAsia="Times New Roman" w:hAnsi="Times New Roman"/>
          <w:sz w:val="24"/>
          <w:szCs w:val="24"/>
        </w:rPr>
        <w:t xml:space="preserve">Estabilización multi-noche del ODI3. A: MAE vs. número de noches (bootstrap, 300 iteraciones); umbral de 2 ev/h alcanzado a partir de la 5ª noche. B: ICC(1,1) vs. N noches, de 0.70 (1 noche) a 0.99 (14 noches).</w:t>
      </w:r>
    </w:p>
    <w:p>
      <w:pPr>
        <w:spacing w:after="120" w:before="0" w:line="360" w:lineRule="auto"/>
        <w:jc w:val="left"/>
      </w:pPr>
      <w:r>
        <w:rPr>
          <w:rFonts w:ascii="Times New Roman" w:cs="Times New Roman" w:eastAsia="Times New Roman" w:hAnsi="Times New Roman"/>
          <w:b/>
          <w:bCs/>
          <w:sz w:val="24"/>
          <w:szCs w:val="24"/>
        </w:rPr>
        <w:t xml:space="preserve">Figura 8. </w:t>
      </w:r>
      <w:r>
        <w:rPr>
          <w:rFonts w:ascii="Times New Roman" w:cs="Times New Roman" w:eastAsia="Times New Roman" w:hAnsi="Times New Roman"/>
          <w:sz w:val="24"/>
          <w:szCs w:val="24"/>
        </w:rPr>
        <w:t xml:space="preserve">Validación interna del ARI multi-noche. A: MAE del ARI vs. número de noches promediadas (bootstrap, 500 iteraciones); por debajo del umbral 0.05 a partir de 2 noches. B: análisis de Bland–Altman comparando estimación de 1 noche con la media multi-noche por paciente; sesgo=+0.002, límites ±0.118.</w:t>
      </w:r>
    </w:p>
    <w:p>
      <w:pPr>
        <w:pStyle w:val="Heading1"/>
        <w:spacing w:after="120" w:before="240" w:line="360" w:lineRule="auto"/>
        <w:jc w:val="left"/>
      </w:pPr>
      <w:r>
        <w:rPr>
          <w:rFonts w:ascii="Times New Roman" w:cs="Times New Roman" w:eastAsia="Times New Roman" w:hAnsi="Times New Roman"/>
          <w:b/>
          <w:bCs/>
          <w:sz w:val="24"/>
          <w:szCs w:val="24"/>
        </w:rPr>
        <w:t xml:space="preserve">Referencias</w:t>
      </w:r>
    </w:p>
    <w:p>
      <w:pPr>
        <w:spacing w:after="120" w:before="0" w:line="360" w:lineRule="auto"/>
        <w:jc w:val="left"/>
      </w:pPr>
      <w:r>
        <w:rPr>
          <w:rFonts w:ascii="Times New Roman" w:cs="Times New Roman" w:eastAsia="Times New Roman" w:hAnsi="Times New Roman"/>
          <w:sz w:val="24"/>
          <w:szCs w:val="24"/>
        </w:rPr>
        <w:t xml:space="preserve">1. Young T, Palta M, Dempsey J, Skatrud J, Weber S, Badr S. The occurrence of sleep-disordered breathing among middle-aged adults. N Engl J Med. 1993;328(17):1230–1235. https://doi.org/10.1056/NEJM199304293281704</w:t>
      </w:r>
    </w:p>
    <w:p>
      <w:pPr>
        <w:spacing w:after="120" w:before="0" w:line="360" w:lineRule="auto"/>
        <w:jc w:val="left"/>
      </w:pPr>
      <w:r>
        <w:rPr>
          <w:rFonts w:ascii="Times New Roman" w:cs="Times New Roman" w:eastAsia="Times New Roman" w:hAnsi="Times New Roman"/>
          <w:sz w:val="24"/>
          <w:szCs w:val="24"/>
        </w:rPr>
        <w:t xml:space="preserve">2. Peppard PE, Young T, Barnet JH, Palta M, Hagen EW, Hla KM. Increased prevalence of sleep-disordered breathing in adults. Am J Epidemiol. 2013;177(9):1006–1014. https://doi.org/10.1093/aje/kws342</w:t>
      </w:r>
    </w:p>
    <w:p>
      <w:pPr>
        <w:spacing w:after="120" w:before="0" w:line="360" w:lineRule="auto"/>
        <w:jc w:val="left"/>
      </w:pPr>
      <w:r>
        <w:rPr>
          <w:rFonts w:ascii="Times New Roman" w:cs="Times New Roman" w:eastAsia="Times New Roman" w:hAnsi="Times New Roman"/>
          <w:sz w:val="24"/>
          <w:szCs w:val="24"/>
        </w:rPr>
        <w:t xml:space="preserve">3. Punjabi NM, Caffo BS, Goodwin JL, et al. Sleep-disordered breathing and mortality: a prospective cohort study. PLoS Med. 2009;6(8):e1000132. https://doi.org/10.1371/journal.pmed.1000132</w:t>
      </w:r>
    </w:p>
    <w:p>
      <w:pPr>
        <w:spacing w:after="120" w:before="0" w:line="360" w:lineRule="auto"/>
        <w:jc w:val="left"/>
      </w:pPr>
      <w:r>
        <w:rPr>
          <w:rFonts w:ascii="Times New Roman" w:cs="Times New Roman" w:eastAsia="Times New Roman" w:hAnsi="Times New Roman"/>
          <w:sz w:val="24"/>
          <w:szCs w:val="24"/>
        </w:rPr>
        <w:t xml:space="preserve">4. Berry RB, Brooks R, Gamaldo CE, et al. AASM Manual for the Scoring of Sleep and Associated Events. Version 2.6. Darien, IL: American Academy of Sleep Medicine; 2020.</w:t>
      </w:r>
    </w:p>
    <w:p>
      <w:pPr>
        <w:spacing w:after="120" w:before="0" w:line="360" w:lineRule="auto"/>
        <w:jc w:val="left"/>
      </w:pPr>
      <w:r>
        <w:rPr>
          <w:rFonts w:ascii="Times New Roman" w:cs="Times New Roman" w:eastAsia="Times New Roman" w:hAnsi="Times New Roman"/>
          <w:sz w:val="24"/>
          <w:szCs w:val="24"/>
        </w:rPr>
        <w:t xml:space="preserve">5. Azarbarzin A, Sands SA, Stone KL, et al. The hypoxic burden of sleep apnoea predicts cardiovascular disease-related mortality: the Osteoporotic Fractures in Men Study and the Sleep Heart Health Study. Eur Heart J. 2019;40(14):1149–1157. https://doi.org/10.1093/eurheartj/ehy624</w:t>
      </w:r>
    </w:p>
    <w:p>
      <w:pPr>
        <w:spacing w:after="120" w:before="0" w:line="360" w:lineRule="auto"/>
        <w:jc w:val="left"/>
      </w:pPr>
      <w:r>
        <w:rPr>
          <w:rFonts w:ascii="Times New Roman" w:cs="Times New Roman" w:eastAsia="Times New Roman" w:hAnsi="Times New Roman"/>
          <w:sz w:val="24"/>
          <w:szCs w:val="24"/>
        </w:rPr>
        <w:t xml:space="preserve">6. Marin JM, Carrizo SJ, Vicente E, Agusti AG. Long-term cardiovascular outcomes in men with obstructive sleep apnoea-hypopnoea with or without treatment with CPAP. Lancet. 2005;365(9464):1046–1053. https://doi.org/10.1016/S0140-6736(05)71141-7</w:t>
      </w:r>
    </w:p>
    <w:p>
      <w:pPr>
        <w:spacing w:after="120" w:before="0" w:line="360" w:lineRule="auto"/>
        <w:jc w:val="left"/>
      </w:pPr>
      <w:r>
        <w:rPr>
          <w:rFonts w:ascii="Times New Roman" w:cs="Times New Roman" w:eastAsia="Times New Roman" w:hAnsi="Times New Roman"/>
          <w:sz w:val="24"/>
          <w:szCs w:val="24"/>
        </w:rPr>
        <w:t xml:space="preserve">7. Collop NA, Anderson WM, Boehlecke B, et al. Clinical guidelines for the use of unattended portable monitors in the diagnosis of obstructive sleep apnea in adult patients. J Clin Sleep Med. 2007;3(7):737–747. https://doi.org/10.5664/jcsm.26925</w:t>
      </w:r>
    </w:p>
    <w:p>
      <w:pPr>
        <w:spacing w:after="120" w:before="0" w:line="360" w:lineRule="auto"/>
        <w:jc w:val="left"/>
      </w:pPr>
      <w:r>
        <w:rPr>
          <w:rFonts w:ascii="Times New Roman" w:cs="Times New Roman" w:eastAsia="Times New Roman" w:hAnsi="Times New Roman"/>
          <w:sz w:val="24"/>
          <w:szCs w:val="24"/>
        </w:rPr>
        <w:t xml:space="preserve">8. Bittencourt LR, Suchecki D, Tufik S, et al. The variability of the apnoea-hypopnoea index. J Sleep Res. 2001;10(3):245–251. https://doi.org/10.1046/j.1365-2869.2001.00255.x</w:t>
      </w:r>
    </w:p>
    <w:p>
      <w:pPr>
        <w:spacing w:after="120" w:before="0" w:line="360" w:lineRule="auto"/>
        <w:jc w:val="left"/>
      </w:pPr>
      <w:r>
        <w:rPr>
          <w:rFonts w:ascii="Times New Roman" w:cs="Times New Roman" w:eastAsia="Times New Roman" w:hAnsi="Times New Roman"/>
          <w:sz w:val="24"/>
          <w:szCs w:val="24"/>
        </w:rPr>
        <w:t xml:space="preserve">9. Levendowski DJ, Zack N, Rao S, et al. Assessment of the test-retest reliability of laboratory polysomnography. Sleep Breath. 2009;13(2):163–167. https://doi.org/10.1007/s11325-008-0214-6</w:t>
      </w:r>
    </w:p>
    <w:p>
      <w:pPr>
        <w:spacing w:after="120" w:before="0" w:line="360" w:lineRule="auto"/>
        <w:jc w:val="left"/>
      </w:pPr>
      <w:r>
        <w:rPr>
          <w:rFonts w:ascii="Times New Roman" w:cs="Times New Roman" w:eastAsia="Times New Roman" w:hAnsi="Times New Roman"/>
          <w:sz w:val="24"/>
          <w:szCs w:val="24"/>
        </w:rPr>
        <w:t xml:space="preserve">10. Eckert DJ, White DP, Jordan AS, Malhotra A, Wellman A. Defining phenotypic causes of obstructive sleep apnea: identification of novel therapeutic targets. Am J Respir Crit Care Med. 2013;188(8):996–1004. https://doi.org/10.1164/rccm.201303-0448OC</w:t>
      </w:r>
    </w:p>
    <w:p>
      <w:pPr>
        <w:spacing w:after="120" w:before="0" w:line="360" w:lineRule="auto"/>
        <w:jc w:val="left"/>
      </w:pPr>
      <w:r>
        <w:rPr>
          <w:rFonts w:ascii="Times New Roman" w:cs="Times New Roman" w:eastAsia="Times New Roman" w:hAnsi="Times New Roman"/>
          <w:sz w:val="24"/>
          <w:szCs w:val="24"/>
        </w:rPr>
        <w:t xml:space="preserve">11. Ye L, Pien GW, Ratcliffe SJ, et al. The different clinical faces of obstructive sleep apnoea: a cluster analysis. Eur Respir J. 2014;44(6):1600–1607. https://doi.org/10.1183/09031936.00032314</w:t>
      </w:r>
    </w:p>
    <w:p>
      <w:pPr>
        <w:spacing w:after="120" w:before="0" w:line="360" w:lineRule="auto"/>
        <w:jc w:val="left"/>
      </w:pPr>
      <w:r>
        <w:rPr>
          <w:rFonts w:ascii="Times New Roman" w:cs="Times New Roman" w:eastAsia="Times New Roman" w:hAnsi="Times New Roman"/>
          <w:sz w:val="24"/>
          <w:szCs w:val="24"/>
        </w:rPr>
        <w:t xml:space="preserve">12. Shrout PE, Fleiss JL. Intraclass correlations: uses in assessing rater reliability. Psychol Bull. 1979;86(2):420–428. https://doi.org/10.1037/0033-2909.86.2.420</w:t>
      </w:r>
    </w:p>
    <w:p>
      <w:pPr>
        <w:spacing w:after="120" w:before="0" w:line="360" w:lineRule="auto"/>
        <w:jc w:val="left"/>
      </w:pPr>
      <w:r>
        <w:rPr>
          <w:rFonts w:ascii="Times New Roman" w:cs="Times New Roman" w:eastAsia="Times New Roman" w:hAnsi="Times New Roman"/>
          <w:sz w:val="24"/>
          <w:szCs w:val="24"/>
        </w:rPr>
        <w:t xml:space="preserve">13. Bland JM, Altman DG. Statistical methods for assessing agreement between two methods of clinical measurement. Lancet. 1986;1(8476):307–310. https://doi.org/10.1016/S0140-6736(86)90837-8</w:t>
      </w:r>
    </w:p>
    <w:p>
      <w:pPr>
        <w:spacing w:after="120" w:before="0" w:line="360" w:lineRule="auto"/>
        <w:jc w:val="left"/>
      </w:pPr>
      <w:r>
        <w:rPr>
          <w:rFonts w:ascii="Times New Roman" w:cs="Times New Roman" w:eastAsia="Times New Roman" w:hAnsi="Times New Roman"/>
          <w:sz w:val="24"/>
          <w:szCs w:val="24"/>
        </w:rPr>
        <w:t xml:space="preserve">14. Somers VK, Dyken ME, Mark AL, Abboud FM. Sympathetic-nerve activity during sleep in normal subjects. N Engl J Med. 1993;328(5):303–307. https://doi.org/10.1056/NEJM199302043280502</w:t>
      </w:r>
    </w:p>
    <w:p>
      <w:pPr>
        <w:spacing w:after="120" w:before="0" w:line="360" w:lineRule="auto"/>
        <w:jc w:val="left"/>
      </w:pPr>
      <w:r>
        <w:rPr>
          <w:rFonts w:ascii="Times New Roman" w:cs="Times New Roman" w:eastAsia="Times New Roman" w:hAnsi="Times New Roman"/>
          <w:sz w:val="24"/>
          <w:szCs w:val="24"/>
        </w:rPr>
        <w:t xml:space="preserve">15. Dempsey JA, Veasey SC, Morgan BJ, O’Donnell CP. Pathophysiology of sleep apnea. Physiol Rev. 2010;90(1):47–112. https://doi.org/10.1152/physrev.00043.2008</w:t>
      </w:r>
    </w:p>
    <w:p>
      <w:pPr>
        <w:spacing w:after="120" w:before="0" w:line="360" w:lineRule="auto"/>
        <w:jc w:val="left"/>
      </w:pPr>
      <w:r>
        <w:rPr>
          <w:rFonts w:ascii="Times New Roman" w:cs="Times New Roman" w:eastAsia="Times New Roman" w:hAnsi="Times New Roman"/>
          <w:sz w:val="24"/>
          <w:szCs w:val="24"/>
        </w:rPr>
        <w:t xml:space="preserve">16. Shamsuzzaman AS, Gersh BJ, Somers VK. Obstructive sleep apnea: implications for cardiac and vascular disease. JAMA. 2003;290(14):1906–1914. https://doi.org/10.1001/jama.290.14.1906</w:t>
      </w:r>
    </w:p>
    <w:p>
      <w:pPr>
        <w:spacing w:after="120" w:before="0" w:line="360" w:lineRule="auto"/>
        <w:jc w:val="left"/>
      </w:pPr>
      <w:r>
        <w:rPr>
          <w:rFonts w:ascii="Times New Roman" w:cs="Times New Roman" w:eastAsia="Times New Roman" w:hAnsi="Times New Roman"/>
          <w:sz w:val="24"/>
          <w:szCs w:val="24"/>
        </w:rPr>
        <w:t xml:space="preserve">17. Narkiewicz K, Somers VK. Sympathetic nerve activity in obstructive sleep apnoea. Acta Physiol Scand. 2003;177(3):385–390. https://doi.org/10.1046/j.1365-201X.2003.01091.x</w:t>
      </w:r>
    </w:p>
    <w:p>
      <w:pPr>
        <w:spacing w:after="120" w:before="0" w:line="360" w:lineRule="auto"/>
        <w:jc w:val="left"/>
      </w:pPr>
      <w:r>
        <w:rPr>
          <w:rFonts w:ascii="Times New Roman" w:cs="Times New Roman" w:eastAsia="Times New Roman" w:hAnsi="Times New Roman"/>
          <w:sz w:val="24"/>
          <w:szCs w:val="24"/>
        </w:rPr>
        <w:t xml:space="preserve">18. Zinchuk AV, Yaggi HK. Phenotypic subtypes of OSA: a challenge and opportunity for precision medicine. Chest. 2020;157(2):403–420. https://doi.org/10.1016/j.chest.2019.09.002</w:t>
      </w:r>
    </w:p>
    <w:p>
      <w:pPr>
        <w:spacing w:after="120" w:before="0" w:line="360" w:lineRule="auto"/>
        <w:jc w:val="left"/>
      </w:pPr>
      <w:r>
        <w:rPr>
          <w:rFonts w:ascii="Times New Roman" w:cs="Times New Roman" w:eastAsia="Times New Roman" w:hAnsi="Times New Roman"/>
          <w:sz w:val="24"/>
          <w:szCs w:val="24"/>
        </w:rPr>
        <w:t xml:space="preserve">19. Kohler M, Stradling JR. Mechanisms of vascular damage in obstructive sleep apnea. Nat Rev Cardiol. 2010;7(12):677–685. https://doi.org/10.1038/nrcardio.2010.145</w:t>
      </w:r>
    </w:p>
    <w:p>
      <w:pPr>
        <w:spacing w:after="120" w:before="0" w:line="360" w:lineRule="auto"/>
        <w:jc w:val="left"/>
      </w:pPr>
      <w:r>
        <w:rPr>
          <w:rFonts w:ascii="Times New Roman" w:cs="Times New Roman" w:eastAsia="Times New Roman" w:hAnsi="Times New Roman"/>
          <w:sz w:val="24"/>
          <w:szCs w:val="24"/>
        </w:rPr>
        <w:t xml:space="preserve">20. Narkiewicz K, Somers VK, Montano N, et al. Contribution of tonic chemoreflex activation to sympathetic activity and blood pressure in patients with obstructive sleep apnea. Circulation. 1998;97(10):943–945. https://doi.org/10.1161/01.cir.97.10.943</w:t>
      </w:r>
    </w:p>
    <w:p>
      <w:pPr>
        <w:spacing w:after="120" w:before="0" w:line="360" w:lineRule="auto"/>
        <w:jc w:val="left"/>
      </w:pPr>
      <w:r>
        <w:rPr>
          <w:rFonts w:ascii="Times New Roman" w:cs="Times New Roman" w:eastAsia="Times New Roman" w:hAnsi="Times New Roman"/>
          <w:sz w:val="24"/>
          <w:szCs w:val="24"/>
        </w:rPr>
        <w:t xml:space="preserve">21. Bailly S, Destors M, Grillet Y, et al. Obstructive sleep apnea: a cluster analysis at time of diagnosis. PLoS One. 2016;11(6):e0157318. https://doi.org/10.1371/journal.pone.0157318</w:t>
      </w:r>
    </w:p>
    <w:p>
      <w:pPr>
        <w:spacing w:after="120" w:before="0" w:line="360" w:lineRule="auto"/>
        <w:jc w:val="left"/>
      </w:pPr>
      <w:r>
        <w:rPr>
          <w:rFonts w:ascii="Times New Roman" w:cs="Times New Roman" w:eastAsia="Times New Roman" w:hAnsi="Times New Roman"/>
          <w:sz w:val="24"/>
          <w:szCs w:val="24"/>
        </w:rPr>
        <w:t xml:space="preserve">22. Gabryelska A, Szmyd B, Szemraj J, Stawski R, Sochal M, Białasiewicz P. Patients with obstructive sleep apnea present with chronic upregulation of serum HIF-1α protein. J Clin Sleep Med. 2020;16(10):1761–1768. https://doi.org/10.5664/jcsm.8682</w:t>
      </w:r>
    </w:p>
    <w:p>
      <w:pPr>
        <w:spacing w:after="120" w:before="0" w:line="360" w:lineRule="auto"/>
        <w:jc w:val="left"/>
      </w:pPr>
      <w:r>
        <w:rPr>
          <w:rFonts w:ascii="Times New Roman" w:cs="Times New Roman" w:eastAsia="Times New Roman" w:hAnsi="Times New Roman"/>
          <w:sz w:val="24"/>
          <w:szCs w:val="24"/>
        </w:rPr>
        <w:t xml:space="preserve">23. Kapur VK, Auckley DH, Chowdhuri S, et al. Clinical practice guideline for diagnostic testing for adult obstructive sleep apnea. J Clin Sleep Med. 2017;13(3):479–504. https://doi.org/10.5664/jcsm.6506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2026-05-23T19:07:50.451Z</dcterms:created>
  <dcterms:modified xsi:type="dcterms:W3CDTF">2026-05-23T19:07:50.451Z</dcterms:modified>
</cp:coreProperties>
</file>

<file path=docProps/custom.xml><?xml version="1.0" encoding="utf-8"?>
<Properties xmlns="http://schemas.openxmlformats.org/officeDocument/2006/custom-properties" xmlns:vt="http://schemas.openxmlformats.org/officeDocument/2006/docPropsVTypes"/>
</file>