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rFonts w:ascii="Times New Roman" w:cs="Times New Roman" w:eastAsia="Times New Roman" w:hAnsi="Times New Roman"/>
          <w:b/>
          <w:bCs/>
          <w:sz w:val="24"/>
          <w:szCs w:val="24"/>
        </w:rPr>
        <w:t xml:space="preserve">CARÁTULA DE PRESENTACIÓN</w:t>
      </w:r>
    </w:p>
    <w:p>
      <w:pPr>
        <w:spacing w:after="60" w:before="120" w:line="360" w:lineRule="auto"/>
        <w:jc w:val="left"/>
      </w:pPr>
      <w:r>
        <w:rPr>
          <w:rFonts w:ascii="Times New Roman" w:cs="Times New Roman" w:eastAsia="Times New Roman" w:hAnsi="Times New Roman"/>
          <w:b/>
          <w:bCs/>
          <w:sz w:val="24"/>
          <w:szCs w:val="24"/>
        </w:rPr>
        <w:t xml:space="preserve">Título (español):</w:t>
      </w:r>
    </w:p>
    <w:p>
      <w:pPr>
        <w:spacing w:after="120" w:before="0" w:line="360" w:lineRule="auto"/>
        <w:jc w:val="left"/>
      </w:pPr>
      <w:r>
        <w:rPr>
          <w:rFonts w:ascii="Times New Roman" w:cs="Times New Roman" w:eastAsia="Times New Roman" w:hAnsi="Times New Roman"/>
          <w:sz w:val="24"/>
          <w:szCs w:val="24"/>
        </w:rPr>
        <w:t xml:space="preserve">Fenotipado morfológico y respuesta autonómica en eventos de desaturación nocturna: un enfoque basado en datos más allá de los índices clásicos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Title (English):</w:t>
      </w:r>
    </w:p>
    <w:p>
      <w:pPr>
        <w:spacing w:after="120" w:before="0" w:line="360" w:lineRule="auto"/>
        <w:jc w:val="left"/>
      </w:pPr>
      <w:r>
        <w:rPr>
          <w:rFonts w:ascii="Times New Roman" w:cs="Times New Roman" w:eastAsia="Times New Roman" w:hAnsi="Times New Roman"/>
          <w:sz w:val="24"/>
          <w:szCs w:val="24"/>
        </w:rPr>
        <w:t xml:space="preserve">Data-driven morphotyping of nocturnal oxygen desaturation events reveals distinct autonomic response phenotypes beyond traditional severity indices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Autores y afiliaciones:</w:t>
      </w:r>
    </w:p>
    <w:p>
      <w:pPr>
        <w:spacing w:after="120" w:before="0" w:line="360" w:lineRule="auto"/>
        <w:jc w:val="left"/>
      </w:pPr>
      <w:r>
        <w:rPr>
          <w:rFonts w:ascii="Times New Roman" w:cs="Times New Roman" w:eastAsia="Times New Roman" w:hAnsi="Times New Roman"/>
          <w:sz w:val="24"/>
          <w:szCs w:val="24"/>
        </w:rPr>
        <w:t xml:space="preserve">Dr. Delia Diego — Médico Anestesiólogo, Sanatorio Mater Dei, Departamento de Anestesiología, Buenos Aires, Argentina</w:t>
      </w:r>
    </w:p>
    <w:p>
      <w:pPr>
        <w:spacing w:after="120" w:before="0" w:line="360" w:lineRule="auto"/>
        <w:jc w:val="left"/>
      </w:pPr>
      <w:r>
        <w:rPr>
          <w:rFonts w:ascii="Times New Roman" w:cs="Times New Roman" w:eastAsia="Times New Roman" w:hAnsi="Times New Roman"/>
          <w:sz w:val="24"/>
          <w:szCs w:val="24"/>
        </w:rPr>
        <w:t xml:space="preserve">Dr. Roberto Inza — </w:t>
      </w:r>
      <w:r>
        <w:rPr>
          <w:rFonts w:ascii="Times New Roman" w:cs="Times New Roman" w:eastAsia="Times New Roman" w:hAnsi="Times New Roman"/>
          <w:sz w:val="24"/>
          <w:szCs w:val="24"/>
        </w:rPr>
        <w:t xml:space="preserve">Médico Ginecólogo, Instituto de Fertilidad y Reproducción (IFER), Buenos Aires, Argentina. Diplomado en Ciencia de Datos, UADE. Maestrando en Ciencia de Datos, Universidad Austral.</w:t>
      </w:r>
    </w:p>
    <w:p>
      <w:pPr>
        <w:spacing w:after="120" w:before="0" w:line="360" w:lineRule="auto"/>
        <w:jc w:val="left"/>
      </w:pPr>
      <w:r>
        <w:rPr>
          <w:rFonts w:ascii="Times New Roman" w:cs="Times New Roman" w:eastAsia="Times New Roman" w:hAnsi="Times New Roman"/>
          <w:b/>
          <w:bCs/>
          <w:sz w:val="24"/>
          <w:szCs w:val="24"/>
        </w:rPr>
        <w:t xml:space="preserve">Contribuciones: </w:t>
      </w:r>
      <w:r>
        <w:rPr>
          <w:rFonts w:ascii="Times New Roman" w:cs="Times New Roman" w:eastAsia="Times New Roman" w:hAnsi="Times New Roman"/>
          <w:sz w:val="24"/>
          <w:szCs w:val="24"/>
        </w:rPr>
        <w:t xml:space="preserve">Dr. Diego: concepción del estudio, reclutamiento de pacientes, interpretación clínica de resultados. Dr. Inza: diseño metodológico, procesamiento y análisis de señales, desarrollo del pipeline PAC_v3, modelado estadístico, redacción del manuscrito.</w:t>
      </w:r>
    </w:p>
    <w:p>
      <w:pPr>
        <w:spacing w:after="120" w:before="0" w:line="360" w:lineRule="auto"/>
        <w:jc w:val="left"/>
      </w:pPr>
      <w:r>
        <w:rPr>
          <w:rFonts w:ascii="Times New Roman" w:cs="Times New Roman" w:eastAsia="Times New Roman" w:hAnsi="Times New Roman"/>
          <w:sz w:val="24"/>
          <w:szCs w:val="24"/>
        </w:rPr>
        <w:t xml:space="preserve">Autor de correspondencia: Dr. Roberto Inza | Correo electrónico: </w:t>
      </w:r>
      <w:r>
        <w:rPr>
          <w:rFonts w:ascii="Times New Roman" w:cs="Times New Roman" w:eastAsia="Times New Roman" w:hAnsi="Times New Roman"/>
          <w:i/>
          <w:iCs/>
          <w:sz w:val="24"/>
          <w:szCs w:val="24"/>
        </w:rPr>
        <w:t xml:space="preserve">robertoinza@gmail.com</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Resumen estructurado (español):</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Palabras clave (español):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Structured Abstract (English):</w:t>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Keywords (English):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Declaración de 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registros provienen de datos clínicos retrospectivos adquiridos en contexto de monitoreo domiciliario, completamente deidentificados y anonimizados. El protocolo clínico (CLP-275001 v1.2) sigue los estándares ICH GCP y las regulaciones aplicables de ANMAT. Dado el carácter retrospectivo del estudio y la deidentificación completa de los datos clínicos, el comité de ética institucional aprobó el protocolo y dispensó el requerimiento de consentimiento informado individual.</w:t>
      </w:r>
    </w:p>
    <w:p>
      <w:pPr>
        <w:spacing w:line="360"/>
      </w:pPr>
      <w:r>
        <w:rPr>
          <w:rFonts w:ascii="Times New Roman" w:cs="Times New Roman" w:eastAsia="Times New Roman" w:hAnsi="Times New Roman"/>
          <w:sz w:val="24"/>
          <w:szCs w:val="24"/>
        </w:rPr>
        <w:t xml:space="preserve"/>
      </w:r>
    </w:p>
    <w:p>
      <w:r>
        <w:br w:type="page"/>
      </w:r>
    </w:p>
    <w:p>
      <w:pPr>
        <w:spacing w:after="60" w:before="0" w:line="360" w:lineRule="auto"/>
        <w:jc w:val="center"/>
      </w:pPr>
      <w:r>
        <w:rPr>
          <w:rFonts w:ascii="Times New Roman" w:cs="Times New Roman" w:eastAsia="Times New Roman" w:hAnsi="Times New Roman"/>
          <w:b/>
          <w:bCs/>
          <w:sz w:val="24"/>
          <w:szCs w:val="24"/>
        </w:rPr>
        <w:t xml:space="preserve">TEXTO PRINCIPAL</w:t>
      </w:r>
    </w:p>
    <w:p>
      <w:pPr>
        <w:spacing w:after="240" w:before="0" w:line="360" w:lineRule="auto"/>
        <w:jc w:val="center"/>
      </w:pPr>
      <w:r>
        <w:rPr>
          <w:rFonts w:ascii="Times New Roman" w:cs="Times New Roman" w:eastAsia="Times New Roman" w:hAnsi="Times New Roman"/>
          <w:i/>
          <w:iCs/>
          <w:sz w:val="24"/>
          <w:szCs w:val="24"/>
        </w:rPr>
        <w:t xml:space="preserve">(Deidentificado — sin datos de autores)</w:t>
      </w:r>
    </w:p>
    <w:p>
      <w:pPr>
        <w:spacing w:after="60" w:before="0" w:line="360" w:lineRule="auto"/>
        <w:jc w:val="center"/>
      </w:pPr>
      <w:r>
        <w:rPr>
          <w:rFonts w:ascii="Times New Roman" w:cs="Times New Roman" w:eastAsia="Times New Roman" w:hAnsi="Times New Roman"/>
          <w:b/>
          <w:bCs/>
          <w:sz w:val="24"/>
          <w:szCs w:val="24"/>
        </w:rPr>
        <w:t xml:space="preserve">Fenotipado morfológico y respuesta autonómica en eventos de desaturación nocturna: un enfoque basado en datos más allá de los índices clásicos</w:t>
      </w:r>
    </w:p>
    <w:p>
      <w:pPr>
        <w:spacing w:after="240" w:before="0" w:line="360" w:lineRule="auto"/>
        <w:jc w:val="center"/>
      </w:pPr>
      <w:r>
        <w:rPr>
          <w:rFonts w:ascii="Times New Roman" w:cs="Times New Roman" w:eastAsia="Times New Roman" w:hAnsi="Times New Roman"/>
          <w:i/>
          <w:iCs/>
          <w:sz w:val="24"/>
          <w:szCs w:val="24"/>
        </w:rPr>
        <w:t xml:space="preserve">Data-driven morphotyping of nocturnal oxygen desaturation events reveals distinct autonomic response phenotypes beyond traditional severity indices</w:t>
      </w:r>
    </w:p>
    <w:p>
      <w:pPr>
        <w:pStyle w:val="Heading1"/>
        <w:spacing w:after="120" w:before="240" w:line="360" w:lineRule="auto"/>
        <w:jc w:val="left"/>
      </w:pPr>
      <w:r>
        <w:rPr>
          <w:rFonts w:ascii="Times New Roman" w:cs="Times New Roman" w:eastAsia="Times New Roman" w:hAnsi="Times New Roman"/>
          <w:b/>
          <w:bCs/>
          <w:sz w:val="24"/>
          <w:szCs w:val="24"/>
        </w:rPr>
        <w:t xml:space="preserve">Resumen / Abstract</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after="120" w:before="0" w:line="360" w:lineRule="auto"/>
        <w:jc w:val="left"/>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after="120" w:before="0" w:line="36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pStyle w:val="Heading1"/>
        <w:spacing w:after="120" w:before="240" w:line="360" w:lineRule="auto"/>
        <w:jc w:val="left"/>
      </w:pPr>
      <w:r>
        <w:rPr>
          <w:rFonts w:ascii="Times New Roman" w:cs="Times New Roman" w:eastAsia="Times New Roman" w:hAnsi="Times New Roman"/>
          <w:b/>
          <w:bCs/>
          <w:sz w:val="24"/>
          <w:szCs w:val="24"/>
        </w:rPr>
        <w:t xml:space="preserve">1. Introducción</w:t>
      </w:r>
    </w:p>
    <w:p>
      <w:pPr>
        <w:spacing w:after="120" w:before="0" w:line="360" w:lineRule="auto"/>
        <w:jc w:val="left"/>
      </w:pPr>
      <w:r>
        <w:rPr>
          <w:rFonts w:ascii="Times New Roman" w:cs="Times New Roman" w:eastAsia="Times New Roman" w:hAnsi="Times New Roman"/>
          <w:sz w:val="24"/>
          <w:szCs w:val="24"/>
        </w:rPr>
        <w:t xml:space="preserve">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pPr>
        <w:spacing w:after="120" w:before="0" w:line="360" w:lineRule="auto"/>
        <w:jc w:val="left"/>
      </w:pPr>
      <w:r>
        <w:rPr>
          <w:rFonts w:ascii="Times New Roman" w:cs="Times New Roman" w:eastAsia="Times New Roman" w:hAnsi="Times New Roman"/>
          <w:sz w:val="24"/>
          <w:szCs w:val="24"/>
        </w:rPr>
        <w:t xml:space="preserve">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pPr>
        <w:spacing w:after="120" w:before="0" w:line="360" w:lineRule="auto"/>
        <w:jc w:val="left"/>
      </w:pPr>
      <w:r>
        <w:rPr>
          <w:rFonts w:ascii="Times New Roman" w:cs="Times New Roman" w:eastAsia="Times New Roman" w:hAnsi="Times New Roman"/>
          <w:sz w:val="24"/>
          <w:szCs w:val="24"/>
        </w:rPr>
        <w:t xml:space="preserve">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pPr>
        <w:spacing w:after="120" w:before="0" w:line="360" w:lineRule="auto"/>
        <w:jc w:val="left"/>
      </w:pPr>
      <w:r>
        <w:rPr>
          <w:rFonts w:ascii="Times New Roman" w:cs="Times New Roman" w:eastAsia="Times New Roman" w:hAnsi="Times New Roman"/>
          <w:sz w:val="24"/>
          <w:szCs w:val="24"/>
        </w:rPr>
        <w:t xml:space="preserve">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pPr>
        <w:pStyle w:val="Heading1"/>
        <w:spacing w:after="120" w:before="240" w:line="360" w:lineRule="auto"/>
        <w:jc w:val="left"/>
      </w:pPr>
      <w:r>
        <w:rPr>
          <w:rFonts w:ascii="Times New Roman" w:cs="Times New Roman" w:eastAsia="Times New Roman" w:hAnsi="Times New Roman"/>
          <w:b/>
          <w:bCs/>
          <w:sz w:val="24"/>
          <w:szCs w:val="24"/>
        </w:rPr>
        <w:t xml:space="preserve">2. Materiales y Métodos</w:t>
      </w:r>
    </w:p>
    <w:p>
      <w:pPr>
        <w:pStyle w:val="Heading2"/>
        <w:spacing w:after="80" w:before="180" w:line="360" w:lineRule="auto"/>
        <w:jc w:val="left"/>
      </w:pPr>
      <w:r>
        <w:rPr>
          <w:rFonts w:ascii="Times New Roman" w:cs="Times New Roman" w:eastAsia="Times New Roman" w:hAnsi="Times New Roman"/>
          <w:b/>
          <w:bCs/>
          <w:sz w:val="24"/>
          <w:szCs w:val="24"/>
        </w:rPr>
        <w:t xml:space="preserve">2.1 Diseño del estudio y cohorte</w:t>
      </w:r>
    </w:p>
    <w:p>
      <w:pPr>
        <w:spacing w:after="120" w:before="0" w:line="360" w:lineRule="auto"/>
        <w:jc w:val="left"/>
      </w:pPr>
      <w:r>
        <w:rPr>
          <w:rFonts w:ascii="Times New Roman" w:cs="Times New Roman" w:eastAsia="Times New Roman" w:hAnsi="Times New Roman"/>
          <w:sz w:val="24"/>
          <w:szCs w:val="24"/>
        </w:rPr>
        <w:t xml:space="preserve">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pPr>
        <w:pStyle w:val="Heading2"/>
        <w:spacing w:after="80" w:before="180" w:line="360" w:lineRule="auto"/>
        <w:jc w:val="left"/>
      </w:pPr>
      <w:r>
        <w:rPr>
          <w:rFonts w:ascii="Times New Roman" w:cs="Times New Roman" w:eastAsia="Times New Roman" w:hAnsi="Times New Roman"/>
          <w:b/>
          <w:bCs/>
          <w:sz w:val="24"/>
          <w:szCs w:val="24"/>
        </w:rPr>
        <w:t xml:space="preserve">2.2 Pipeline PAC_v2 y detección de eventos</w:t>
      </w:r>
    </w:p>
    <w:p>
      <w:pPr>
        <w:spacing w:after="120" w:before="0" w:line="360" w:lineRule="auto"/>
        <w:jc w:val="left"/>
      </w:pPr>
      <w:r>
        <w:rPr>
          <w:rFonts w:ascii="Times New Roman" w:cs="Times New Roman" w:eastAsia="Times New Roman" w:hAnsi="Times New Roman"/>
          <w:sz w:val="24"/>
          <w:szCs w:val="24"/>
        </w:rPr>
        <w:t xml:space="preserve">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pPr>
        <w:pStyle w:val="Heading2"/>
        <w:spacing w:after="80" w:before="180" w:line="360" w:lineRule="auto"/>
        <w:jc w:val="left"/>
      </w:pPr>
      <w:r>
        <w:rPr>
          <w:rFonts w:ascii="Times New Roman" w:cs="Times New Roman" w:eastAsia="Times New Roman" w:hAnsi="Times New Roman"/>
          <w:b/>
          <w:bCs/>
          <w:sz w:val="24"/>
          <w:szCs w:val="24"/>
        </w:rPr>
        <w:t xml:space="preserve">2.3 Análisis morfológico y ARI</w:t>
      </w:r>
    </w:p>
    <w:p>
      <w:pPr>
        <w:spacing w:after="120" w:before="0" w:line="360" w:lineRule="auto"/>
        <w:jc w:val="left"/>
      </w:pPr>
      <w:r>
        <w:rPr>
          <w:rFonts w:ascii="Times New Roman" w:cs="Times New Roman" w:eastAsia="Times New Roman" w:hAnsi="Times New Roman"/>
          <w:sz w:val="24"/>
          <w:szCs w:val="24"/>
        </w:rPr>
        <w:t xml:space="preserve">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pPr>
        <w:spacing w:after="120" w:before="0" w:line="360" w:lineRule="auto"/>
        <w:jc w:val="left"/>
      </w:pPr>
      <w:r>
        <w:rPr>
          <w:rFonts w:ascii="Times New Roman" w:cs="Times New Roman" w:eastAsia="Times New Roman" w:hAnsi="Times New Roman"/>
          <w:sz w:val="24"/>
          <w:szCs w:val="24"/>
        </w:rPr>
        <w:t xml:space="preserve">El Índice de Respuesta Autonómica (ARI) se definió como:</w:t>
      </w:r>
    </w:p>
    <w:p>
      <w:pPr>
        <w:spacing w:after="120" w:before="120" w:line="360" w:lineRule="auto"/>
        <w:jc w:val="center"/>
      </w:pPr>
      <w:r>
        <w:rPr>
          <w:rFonts w:ascii="Times New Roman" w:cs="Times New Roman" w:eastAsia="Times New Roman" w:hAnsi="Times New Roman"/>
          <w:i/>
          <w:iCs/>
          <w:sz w:val="24"/>
          <w:szCs w:val="24"/>
        </w:rPr>
        <w:t xml:space="preserve">ARI = 0.6 · Pct(ΔHR / ΔSpO₂) + 0.4 · Pct(ΔMov / ΔSpO₂)   (1)</w:t>
      </w:r>
    </w:p>
    <w:p>
      <w:pPr>
        <w:spacing w:after="120" w:before="0" w:line="360" w:lineRule="auto"/>
        <w:jc w:val="left"/>
      </w:pPr>
      <w:r>
        <w:rPr>
          <w:rFonts w:ascii="Times New Roman" w:cs="Times New Roman" w:eastAsia="Times New Roman" w:hAnsi="Times New Roman"/>
          <w:sz w:val="24"/>
          <w:szCs w:val="24"/>
        </w:rPr>
        <w:t xml:space="preserve">donde Pct(·) es la transformación a percentiles dentro del corpus completo de eventos con porcentaje de caída de SpO₂ &gt; 0 (84.248 eventos), haciendo al índice adimensional y robusto a diferencias de escala entre variables. Los pesos 0.6/0.4 reflejan la mayor varianza del componente cardíaco.</w:t>
      </w:r>
    </w:p>
    <w:p>
      <w:pPr>
        <w:pStyle w:val="Heading2"/>
        <w:spacing w:after="80" w:before="180" w:line="360" w:lineRule="auto"/>
        <w:jc w:val="left"/>
      </w:pPr>
      <w:r>
        <w:rPr>
          <w:rFonts w:ascii="Times New Roman" w:cs="Times New Roman" w:eastAsia="Times New Roman" w:hAnsi="Times New Roman"/>
          <w:b/>
          <w:bCs/>
          <w:sz w:val="24"/>
          <w:szCs w:val="24"/>
        </w:rPr>
        <w:t xml:space="preserve">2.4 Validación interna multi-noche</w:t>
      </w:r>
    </w:p>
    <w:p>
      <w:pPr>
        <w:spacing w:after="120" w:before="0" w:line="360" w:lineRule="auto"/>
        <w:jc w:val="left"/>
      </w:pPr>
      <w:r>
        <w:rPr>
          <w:rFonts w:ascii="Times New Roman" w:cs="Times New Roman" w:eastAsia="Times New Roman" w:hAnsi="Times New Roman"/>
          <w:sz w:val="24"/>
          <w:szCs w:val="24"/>
        </w:rPr>
        <w:t xml:space="preserve">En ausencia de polisomnografía (PSG) como estándar externo, la validación se basó en consistencia interna y reproducibilidad longitudinal mediante tres métricas: (a) coeficiente de correlación intraclase de un factor sobre mediciones individuales [ICC(1,1)],12 que cuantifica la consistencia de la estimación entre distintas noches del mismo paciente; (b) análisis de concordancia de Bland–Altman,13 aplicado para comparar la estimación de una sola noche frente al promedio multi-noche; y (c) estabilización bootstrap del error absoluto medio (MAE) en función del número de noches acumuladas (300 iteraciones por paciente; n=7 pacientes con ≥14 noches válidas). La severidad nocturna se clasificó según el ODI3: Leve (&lt;5 ev/h), Moderado (5–15), Grave (15–30) y Muy grave (≥30).</w:t>
      </w:r>
    </w:p>
    <w:p>
      <w:pPr>
        <w:pStyle w:val="Heading1"/>
        <w:spacing w:after="120" w:before="240" w:line="360" w:lineRule="auto"/>
        <w:jc w:val="left"/>
      </w:pPr>
      <w:r>
        <w:rPr>
          <w:rFonts w:ascii="Times New Roman" w:cs="Times New Roman" w:eastAsia="Times New Roman" w:hAnsi="Times New Roman"/>
          <w:b/>
          <w:bCs/>
          <w:sz w:val="24"/>
          <w:szCs w:val="24"/>
        </w:rPr>
        <w:t xml:space="preserve">3. Resultados</w:t>
      </w:r>
    </w:p>
    <w:p>
      <w:pPr>
        <w:pStyle w:val="Heading2"/>
        <w:spacing w:after="80" w:before="180" w:line="360" w:lineRule="auto"/>
        <w:jc w:val="left"/>
      </w:pPr>
      <w:r>
        <w:rPr>
          <w:rFonts w:ascii="Times New Roman" w:cs="Times New Roman" w:eastAsia="Times New Roman" w:hAnsi="Times New Roman"/>
          <w:b/>
          <w:bCs/>
          <w:sz w:val="24"/>
          <w:szCs w:val="24"/>
        </w:rPr>
        <w:t xml:space="preserve">3.1 Descripción de la cohorte</w:t>
      </w:r>
    </w:p>
    <w:p>
      <w:pPr>
        <w:spacing w:after="120" w:before="0" w:line="360" w:lineRule="auto"/>
        <w:jc w:val="left"/>
      </w:pPr>
      <w:r>
        <w:rPr>
          <w:rFonts w:ascii="Times New Roman" w:cs="Times New Roman" w:eastAsia="Times New Roman" w:hAnsi="Times New Roman"/>
          <w:sz w:val="24"/>
          <w:szCs w:val="24"/>
        </w:rPr>
        <w:t xml:space="preserve">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1. Estadísticos descriptivos de índices nocturnos (560 noches).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900"/>
        <w:gridCol w:w="900"/>
        <w:gridCol w:w="1100"/>
        <w:gridCol w:w="1000"/>
      </w:tblGrid>
      <w:tr>
        <w:trPr>
          <w:tblHeader/>
        </w:trPr>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Índice</w:t>
            </w:r>
          </w:p>
        </w:tc>
        <w:tc>
          <w:tcPr>
            <w:tcW w:type="dxa" w:w="13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Media</w:t>
            </w:r>
          </w:p>
        </w:tc>
        <w:tc>
          <w:tcPr>
            <w:tcW w:type="dxa" w:w="1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CV%</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Mín</w:t>
            </w:r>
          </w:p>
        </w:tc>
        <w:tc>
          <w:tcPr>
            <w:tcW w:type="dxa" w:w="11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P50</w:t>
            </w:r>
          </w:p>
        </w:tc>
        <w:tc>
          <w:tcPr>
            <w:tcW w:type="dxa" w:w="1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Máx</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17.9</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14.1</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78.6</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14.6</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98.6</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215.3</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91.5</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mín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70.5</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8.7</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71.0</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88.0</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media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93.7</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93.9</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96.4</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FC media (lpm)</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61.3</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9.0</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48.2</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61.4</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100.8</w:t>
            </w:r>
          </w:p>
        </w:tc>
      </w:tr>
    </w:tbl>
    <w:p>
      <w:pPr>
        <w:spacing w:after="180" w:before="60" w:line="300"/>
      </w:pPr>
      <w:r>
        <w:rPr>
          <w:rFonts w:ascii="Times New Roman" w:cs="Times New Roman" w:eastAsia="Times New Roman" w:hAnsi="Times New Roman"/>
          <w:i/>
          <w:iCs/>
          <w:sz w:val="22"/>
          <w:szCs w:val="22"/>
        </w:rPr>
        <w:t xml:space="preserve">ODI: índice de desaturación; T90: fracción de tiempo SpO₂&lt;90%; DE: desviación estándar; P50: mediana.</w:t>
      </w:r>
    </w:p>
    <w:p>
      <w:pPr>
        <w:pStyle w:val="Heading2"/>
        <w:spacing w:after="80" w:before="180" w:line="360" w:lineRule="auto"/>
        <w:jc w:val="left"/>
      </w:pPr>
      <w:r>
        <w:rPr>
          <w:rFonts w:ascii="Times New Roman" w:cs="Times New Roman" w:eastAsia="Times New Roman" w:hAnsi="Times New Roman"/>
          <w:b/>
          <w:bCs/>
          <w:sz w:val="24"/>
          <w:szCs w:val="24"/>
        </w:rPr>
        <w:t xml:space="preserve">3.2 Estructura morfológica de los eventos</w:t>
      </w:r>
    </w:p>
    <w:p>
      <w:pPr>
        <w:spacing w:after="120" w:before="0" w:line="360" w:lineRule="auto"/>
        <w:jc w:val="left"/>
      </w:pPr>
      <w:r>
        <w:rPr>
          <w:rFonts w:ascii="Times New Roman" w:cs="Times New Roman" w:eastAsia="Times New Roman" w:hAnsi="Times New Roman"/>
          <w:sz w:val="24"/>
          <w:szCs w:val="24"/>
        </w:rPr>
        <w:t xml:space="preserve">El PCA aplicado sobre las 85.277 curvas normalizadas mostró que tres componentes principales explican el 83.9% de la varianza total (CP1: 62.9%, CP2: 14.0%, CP3: 7.0%). CP1 captura la profundidad global de la desaturación; CP2 refleja la asimetría temporal entre la fase de caída y la de recuperación; CP3 se asocia a la posición temporal del nadir. La proyección de los eventos en el espacio PC1–PC2 confirma que los clusters identificados por K-means se corresponden con regiones coherentes del espacio de componentes (Figura 1).</w:t>
      </w:r>
    </w:p>
    <w:p>
      <w:pPr>
        <w:pStyle w:val="Heading2"/>
        <w:spacing w:after="80" w:before="180" w:line="360" w:lineRule="auto"/>
        <w:jc w:val="left"/>
      </w:pPr>
      <w:r>
        <w:rPr>
          <w:rFonts w:ascii="Times New Roman" w:cs="Times New Roman" w:eastAsia="Times New Roman" w:hAnsi="Times New Roman"/>
          <w:b/>
          <w:bCs/>
          <w:sz w:val="24"/>
          <w:szCs w:val="24"/>
        </w:rPr>
        <w:t xml:space="preserve">3.3 Fenotipos morfológicos C1–C5</w:t>
      </w:r>
    </w:p>
    <w:p>
      <w:pPr>
        <w:spacing w:after="120" w:before="0" w:line="360" w:lineRule="auto"/>
        <w:jc w:val="left"/>
      </w:pPr>
      <w:r>
        <w:rPr>
          <w:rFonts w:ascii="Times New Roman" w:cs="Times New Roman" w:eastAsia="Times New Roman" w:hAnsi="Times New Roman"/>
          <w:sz w:val="24"/>
          <w:szCs w:val="24"/>
        </w:rPr>
        <w:t xml:space="preserve">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2. Características de los cinco morfotipos (85.277 eventos).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1500"/>
        <w:gridCol w:w="2200"/>
        <w:gridCol w:w="9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8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 (% total)</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Nadir ΔSpO₂</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ICC inter-noche</w:t>
            </w:r>
          </w:p>
        </w:tc>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Descripción</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Cat.</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55.175 (64.7%)</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0.601</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Basal subcrítico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21.318 (25.0%)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0.682</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Leve a moderado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3.662  (4.3%)</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-7.9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0.419</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simétrico (nadir 25%)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4.301  (5.0%)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-8.6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0.476</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tardío (nadir 75%)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821    (1.0%)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-15.3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0.505</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Severo prolongado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bl>
    <w:p>
      <w:pPr>
        <w:spacing w:after="180" w:before="60" w:line="300"/>
      </w:pPr>
      <w:r>
        <w:rPr>
          <w:rFonts w:ascii="Times New Roman" w:cs="Times New Roman" w:eastAsia="Times New Roman" w:hAnsi="Times New Roman"/>
          <w:i/>
          <w:iCs/>
          <w:sz w:val="22"/>
          <w:szCs w:val="22"/>
        </w:rPr>
        <w:t xml:space="preserve">ICC(1,1): coeficiente de correlación intraclase inter-noche; pp: puntos porcentuales.</w:t>
      </w:r>
    </w:p>
    <w:p>
      <w:pPr>
        <w:spacing w:after="120" w:before="0" w:line="360" w:lineRule="auto"/>
        <w:jc w:val="left"/>
      </w:pPr>
      <w:r>
        <w:rPr>
          <w:rFonts w:ascii="Times New Roman" w:cs="Times New Roman" w:eastAsia="Times New Roman" w:hAnsi="Times New Roman"/>
          <w:sz w:val="24"/>
          <w:szCs w:val="24"/>
        </w:rPr>
        <w:t xml:space="preserve">La distribución de eventos es marcadamente asimétrica: C1 y C2 concentran el 89.7% de los casos. C3 presenta un nadir temprano al 25%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pPr>
        <w:pStyle w:val="Heading2"/>
        <w:spacing w:after="80" w:before="180" w:line="360" w:lineRule="auto"/>
        <w:jc w:val="left"/>
      </w:pPr>
      <w:r>
        <w:rPr>
          <w:rFonts w:ascii="Times New Roman" w:cs="Times New Roman" w:eastAsia="Times New Roman" w:hAnsi="Times New Roman"/>
          <w:b/>
          <w:bCs/>
          <w:sz w:val="24"/>
          <w:szCs w:val="24"/>
        </w:rPr>
        <w:t xml:space="preserve">3.4 ARI como dimensión fisiológica ortogonal</w:t>
      </w:r>
    </w:p>
    <w:p>
      <w:pPr>
        <w:spacing w:after="120" w:before="0" w:line="360" w:lineRule="auto"/>
        <w:jc w:val="left"/>
      </w:pPr>
      <w:r>
        <w:rPr>
          <w:rFonts w:ascii="Times New Roman" w:cs="Times New Roman" w:eastAsia="Times New Roman" w:hAnsi="Times New Roman"/>
          <w:sz w:val="24"/>
          <w:szCs w:val="24"/>
        </w:rPr>
        <w:t xml:space="preserve">La correlación de Spearman entre ARI y profundidad de desaturación fue ρ=0.034 (p&lt;10⁻²³). La significancia estadística del test pierde relevancia clínica al constatar que ρ ronda el 0, confirmando independencia práctica entre ambas dimensiones: la severidad morfológica explica menos del 0.1% de la varianza del ARI. El área bajo la curva (AUC) para discriminar eventos severos (C4+C5) de no severos (C1–C3) en base al ARI fue 0.453, equivalente al azar (Figura 4). La mediana del ARI por cluster varía entre 0.44 y 0.52 sin tendencia monótona con la severidad (Figura 5). En conjunto, estos resultados confirman que el ARI y la severidad hipóxica son dimensiones independientes: un paciente puede tener alta carga hipóxica y respuesta autonómica eficiente, o baja carga hipóxica y respuesta autonómica deteriorada.</w:t>
      </w:r>
    </w:p>
    <w:p>
      <w:pPr>
        <w:pStyle w:val="Heading2"/>
        <w:spacing w:after="80" w:before="180" w:line="360" w:lineRule="auto"/>
        <w:jc w:val="left"/>
      </w:pPr>
      <w:r>
        <w:rPr>
          <w:rFonts w:ascii="Times New Roman" w:cs="Times New Roman" w:eastAsia="Times New Roman" w:hAnsi="Times New Roman"/>
          <w:b/>
          <w:bCs/>
          <w:sz w:val="24"/>
          <w:szCs w:val="24"/>
        </w:rPr>
        <w:t xml:space="preserve">3.5 Perfiles fisiológicos multimodales</w:t>
      </w:r>
    </w:p>
    <w:p>
      <w:pPr>
        <w:spacing w:after="120" w:before="0" w:line="360" w:lineRule="auto"/>
        <w:jc w:val="left"/>
      </w:pPr>
      <w:r>
        <w:rPr>
          <w:rFonts w:ascii="Times New Roman" w:cs="Times New Roman" w:eastAsia="Times New Roman" w:hAnsi="Times New Roman"/>
          <w:sz w:val="24"/>
          <w:szCs w:val="24"/>
        </w:rPr>
        <w:t xml:space="preserve">La ganancia de FC (ΔHR/ΔSpO₂) fue decreciente con la severidad del cluster: C1=0.63, C2=0.53, C3=0.21, C4=0.31, C5=0.04 lpm/pp. C5 exhibe prácticamente respuesta nula (silencio autonómico) a pesar de nadires de −15.3 pp. La Tabla 3 resume los valores de ARI y ganancia de FC por morfotipo.</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3. ARI y ganancia de FC por morfotipo.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1600"/>
        <w:gridCol w:w="32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7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 ± DE</w:t>
            </w:r>
          </w:p>
        </w:tc>
        <w:tc>
          <w:tcPr>
            <w:tcW w:type="dxa" w:w="14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mediana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Ganancia FC (lpm/pp)</w:t>
            </w:r>
          </w:p>
        </w:tc>
        <w:tc>
          <w:tcPr>
            <w:tcW w:type="dxa" w:w="3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Interpretación autonómica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0.491 ± 0.205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0.633</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proporcional normal</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0.526 ± 0.185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0.528</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activa, levemente elevada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0.509 ± 0.146</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0.209</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atenuada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0.489 ± 0.143</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0.307</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reducida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0.422 ± 0.105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0.431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0.040</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Silencio autonómico</w:t>
            </w:r>
          </w:p>
        </w:tc>
      </w:tr>
    </w:tbl>
    <w:p>
      <w:pPr>
        <w:spacing w:after="180" w:before="60" w:line="300"/>
      </w:pPr>
      <w:r>
        <w:rPr>
          <w:rFonts w:ascii="Times New Roman" w:cs="Times New Roman" w:eastAsia="Times New Roman" w:hAnsi="Times New Roman"/>
          <w:i/>
          <w:iCs/>
          <w:sz w:val="22"/>
          <w:szCs w:val="22"/>
        </w:rPr>
        <w:t xml:space="preserve">ARI: Índice de Respuesta Autonómica (0–1). Ganancia FC: ΔHR/ΔSpO₂ (lpm/pp).</w:t>
      </w:r>
    </w:p>
    <w:p>
      <w:pPr>
        <w:pStyle w:val="Heading2"/>
        <w:spacing w:after="80" w:before="180" w:line="360" w:lineRule="auto"/>
        <w:jc w:val="left"/>
      </w:pPr>
      <w:r>
        <w:rPr>
          <w:rFonts w:ascii="Times New Roman" w:cs="Times New Roman" w:eastAsia="Times New Roman" w:hAnsi="Times New Roman"/>
          <w:b/>
          <w:bCs/>
          <w:sz w:val="24"/>
          <w:szCs w:val="24"/>
        </w:rPr>
        <w:t xml:space="preserve">3.6 Validación clínica del ARI: análisis intra-estrato</w:t>
      </w:r>
    </w:p>
    <w:p>
      <w:pPr>
        <w:spacing w:after="120" w:before="0" w:line="360" w:lineRule="auto"/>
        <w:jc w:val="left"/>
      </w:pPr>
      <w:r>
        <w:rPr>
          <w:rFonts w:ascii="Times New Roman" w:cs="Times New Roman" w:eastAsia="Times New Roman" w:hAnsi="Times New Roman"/>
          <w:sz w:val="24"/>
          <w:szCs w:val="24"/>
        </w:rPr>
        <w:t xml:space="preserve">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pPr>
        <w:pStyle w:val="Heading2"/>
        <w:spacing w:after="80" w:before="180" w:line="360" w:lineRule="auto"/>
        <w:jc w:val="left"/>
      </w:pPr>
      <w:r>
        <w:rPr>
          <w:rFonts w:ascii="Times New Roman" w:cs="Times New Roman" w:eastAsia="Times New Roman" w:hAnsi="Times New Roman"/>
          <w:b/>
          <w:bCs/>
          <w:sz w:val="24"/>
          <w:szCs w:val="24"/>
        </w:rPr>
        <w:t xml:space="preserve">3.7 Relación con la severidad nocturna</w:t>
      </w:r>
    </w:p>
    <w:p>
      <w:pPr>
        <w:spacing w:after="120" w:before="0" w:line="360" w:lineRule="auto"/>
        <w:jc w:val="left"/>
      </w:pPr>
      <w:r>
        <w:rPr>
          <w:rFonts w:ascii="Times New Roman" w:cs="Times New Roman" w:eastAsia="Times New Roman" w:hAnsi="Times New Roman"/>
          <w:sz w:val="24"/>
          <w:szCs w:val="24"/>
        </w:rPr>
        <w:t xml:space="preserve">La correlación de Spearman entre el ARI nocturno y el ODI3 fue ρ=−0.245 (p&lt;10⁻⁹), estadísticamente significativa pero de magnitud modesta (el ODI3 explica menos del 7% de la varianza del ARI). La Tabla 4 desglosa las métricas morfológicas y autonómicas por estrato de severidad. El ARI medio muestra una variación interestrato mínima (0.519 en Leve vs. 0.486 en Muy grave) a lo largo de un rango de ODI3 que se multiplica por once (3.8 a 40.9 ev/h), ilustrando empíricamente la ortogonalidad del índice.</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4. Métricas morfológicas y autonómicas por estrato de severidad (medianas).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rPr>
          <w:tblHeader/>
        </w:trPr>
        <w:tc>
          <w:tcPr>
            <w:tcW w:type="dxa" w:w="2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Métrica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Leve (n=29)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Moderado (n=259)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Grave (n=218)</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Muy grave (n=54)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20.1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40.9</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12.3</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C1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83.7%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66.7%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C4+C5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1.6%</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4.4%</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9.7%</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ARI medio</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0.519</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0.486</w:t>
            </w:r>
          </w:p>
        </w:tc>
      </w:tr>
    </w:tbl>
    <w:p>
      <w:pPr>
        <w:spacing w:after="180" w:before="60" w:line="300"/>
      </w:pPr>
      <w:r>
        <w:rPr>
          <w:rFonts w:ascii="Times New Roman" w:cs="Times New Roman" w:eastAsia="Times New Roman" w:hAnsi="Times New Roman"/>
          <w:i/>
          <w:iCs/>
          <w:sz w:val="22"/>
          <w:szCs w:val="22"/>
        </w:rPr>
        <w:t xml:space="preserve">Leve: ODI3&lt;5 ev/h; Moderado: 5–15; Grave: 15–30; Muy grave: ≥30.</w:t>
      </w:r>
    </w:p>
    <w:p>
      <w:pPr>
        <w:pStyle w:val="Heading2"/>
        <w:spacing w:after="80" w:before="180" w:line="360" w:lineRule="auto"/>
        <w:jc w:val="left"/>
      </w:pPr>
      <w:r>
        <w:rPr>
          <w:rFonts w:ascii="Times New Roman" w:cs="Times New Roman" w:eastAsia="Times New Roman" w:hAnsi="Times New Roman"/>
          <w:b/>
          <w:bCs/>
          <w:sz w:val="24"/>
          <w:szCs w:val="24"/>
        </w:rPr>
        <w:t xml:space="preserve">3.8 Validación interna y estabilidad multi-noche</w:t>
      </w:r>
    </w:p>
    <w:p>
      <w:pPr>
        <w:spacing w:after="120" w:before="0" w:line="360" w:lineRule="auto"/>
        <w:jc w:val="left"/>
      </w:pPr>
      <w:r>
        <w:rPr>
          <w:rFonts w:ascii="Times New Roman" w:cs="Times New Roman" w:eastAsia="Times New Roman" w:hAnsi="Times New Roman"/>
          <w:sz w:val="24"/>
          <w:szCs w:val="24"/>
        </w:rPr>
        <w:t xml:space="preserve">Para el ODI3, el ICC(1,1) fue de 0.70 para una sola noche, escalando hasta 0.99 al promediar 14 noches (Figura 7B). La simulación bootstrap mostró reducción progresiva del MAE: de 5.3 ev/h (una noche) a 1.5 ev/h (14 noches), cruzando el umbral clínico de 2 ev/h a partir de la quinta noche (Figura 7A). La concordancia categórica en la clasificación de severidad alcanza el 100% a partir de 3 noches.</w:t>
      </w:r>
    </w:p>
    <w:p>
      <w:pPr>
        <w:spacing w:after="120" w:before="0" w:line="360" w:lineRule="auto"/>
        <w:jc w:val="left"/>
      </w:pPr>
      <w:r>
        <w:rPr>
          <w:rFonts w:ascii="Times New Roman" w:cs="Times New Roman" w:eastAsia="Times New Roman" w:hAnsi="Times New Roman"/>
          <w:sz w:val="24"/>
          <w:szCs w:val="24"/>
        </w:rPr>
        <w:t xml:space="preserve">Para el ARI, la simulación bootstrap mostró estabilización más rápida: el MAE parte de 0.036 unidades con una sola noche, ya por debajo del umbral operacional de 0.05, y se estabiliza en ~0.006 unidades a partir de la novena noche (Figura 8A). El análisis de Bland–Altman confirmó ausencia de sesgo sistemático entre la estimación de 1 noche y la media multi-noche (sesgo=+0.002), con límites de concordancia de ±0.118 unidades ARI (Figura 8B). Ambos análisis sostienen que los índices calculados a partir de una sola noche de monitoreo ambulatorio son representativos del estado crónico del paciente. En términos prácticos, esto implica que una sola noche de registro domiciliario con el SOMNI 6000 es suficiente para estimar el ARI del paciente de forma clínicamente confiable, sin necesidad de estudios repetidos ni de laboratorio de sueño.</w:t>
      </w:r>
    </w:p>
    <w:p>
      <w:pPr>
        <w:pStyle w:val="Heading1"/>
        <w:spacing w:after="120" w:before="240" w:line="360" w:lineRule="auto"/>
        <w:jc w:val="left"/>
      </w:pPr>
      <w:r>
        <w:rPr>
          <w:rFonts w:ascii="Times New Roman" w:cs="Times New Roman" w:eastAsia="Times New Roman" w:hAnsi="Times New Roman"/>
          <w:b/>
          <w:bCs/>
          <w:sz w:val="24"/>
          <w:szCs w:val="24"/>
        </w:rPr>
        <w:t xml:space="preserve">4. Discusión</w:t>
      </w:r>
    </w:p>
    <w:p>
      <w:pPr>
        <w:spacing w:after="120" w:before="0" w:line="360" w:lineRule="auto"/>
        <w:jc w:val="left"/>
      </w:pPr>
      <w:r>
        <w:rPr>
          <w:rFonts w:ascii="Times New Roman" w:cs="Times New Roman" w:eastAsia="Times New Roman" w:hAnsi="Times New Roman"/>
          <w:sz w:val="24"/>
          <w:szCs w:val="24"/>
        </w:rPr>
        <w:t xml:space="preserve">Los resultados demuestran que los EDOs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pPr>
        <w:spacing w:after="120" w:before="0" w:line="360" w:lineRule="auto"/>
        <w:jc w:val="left"/>
      </w:pPr>
      <w:r>
        <w:rPr>
          <w:rFonts w:ascii="Times New Roman" w:cs="Times New Roman" w:eastAsia="Times New Roman" w:hAnsi="Times New Roman"/>
          <w:sz w:val="24"/>
          <w:szCs w:val="24"/>
        </w:rPr>
        <w:t xml:space="preserve">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pPr>
        <w:spacing w:after="120" w:before="0" w:line="360" w:lineRule="auto"/>
        <w:jc w:val="left"/>
      </w:pPr>
      <w:r>
        <w:rPr>
          <w:rFonts w:ascii="Times New Roman" w:cs="Times New Roman" w:eastAsia="Times New Roman" w:hAnsi="Times New Roman"/>
          <w:sz w:val="24"/>
          <w:szCs w:val="24"/>
        </w:rPr>
        <w:t xml:space="preserve">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pPr>
        <w:spacing w:after="120" w:before="0" w:line="360" w:lineRule="auto"/>
        <w:jc w:val="left"/>
      </w:pPr>
      <w:r>
        <w:rPr>
          <w:rFonts w:ascii="Times New Roman" w:cs="Times New Roman" w:eastAsia="Times New Roman" w:hAnsi="Times New Roman"/>
          <w:sz w:val="24"/>
          <w:szCs w:val="24"/>
        </w:rPr>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pPr>
        <w:pStyle w:val="Heading1"/>
        <w:spacing w:after="120" w:before="240" w:line="360" w:lineRule="auto"/>
        <w:jc w:val="left"/>
      </w:pPr>
      <w:r>
        <w:rPr>
          <w:rFonts w:ascii="Times New Roman" w:cs="Times New Roman" w:eastAsia="Times New Roman" w:hAnsi="Times New Roman"/>
          <w:b/>
          <w:bCs/>
          <w:sz w:val="24"/>
          <w:szCs w:val="24"/>
        </w:rPr>
        <w:t xml:space="preserve">5. Conclusiones</w:t>
      </w:r>
    </w:p>
    <w:p>
      <w:pPr>
        <w:spacing w:after="120" w:before="0" w:line="360" w:lineRule="auto"/>
        <w:jc w:val="left"/>
      </w:pPr>
      <w:r>
        <w:rPr>
          <w:rFonts w:ascii="Times New Roman" w:cs="Times New Roman" w:eastAsia="Times New Roman" w:hAnsi="Times New Roman"/>
          <w:sz w:val="24"/>
          <w:szCs w:val="24"/>
        </w:rPr>
        <w:t xml:space="preserve">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pPr>
        <w:spacing w:after="120" w:before="0" w:line="360" w:lineRule="auto"/>
        <w:jc w:val="left"/>
      </w:pPr>
      <w:r>
        <w:rPr>
          <w:rFonts w:ascii="Times New Roman" w:cs="Times New Roman" w:eastAsia="Times New Roman" w:hAnsi="Times New Roman"/>
          <w:sz w:val="24"/>
          <w:szCs w:val="24"/>
        </w:rPr>
        <w:t xml:space="preserve">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pPr>
        <w:spacing w:after="120" w:before="0" w:line="360" w:lineRule="auto"/>
        <w:jc w:val="left"/>
      </w:pPr>
      <w:r>
        <w:rPr>
          <w:rFonts w:ascii="Times New Roman" w:cs="Times New Roman" w:eastAsia="Times New Roman" w:hAnsi="Times New Roman"/>
          <w:sz w:val="24"/>
          <w:szCs w:val="24"/>
        </w:rPr>
        <w:t xml:space="preserve">La validación longitudinal confirma que ambas métricas son estables: el ODI3 alcanza concordancia categórica completa a partir de tres noches, y el ARI presenta MAE ya por debajo del umbral operacional con una sola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pPr>
        <w:pStyle w:val="Heading1"/>
        <w:spacing w:after="120" w:before="240" w:line="360" w:lineRule="auto"/>
        <w:jc w:val="left"/>
      </w:pPr>
      <w:r>
        <w:rPr>
          <w:rFonts w:ascii="Times New Roman" w:cs="Times New Roman" w:eastAsia="Times New Roman" w:hAnsi="Times New Roman"/>
          <w:b/>
          <w:bCs/>
          <w:sz w:val="24"/>
          <w:szCs w:val="24"/>
        </w:rPr>
        <w:t xml:space="preserve">Declaraciones</w:t>
      </w:r>
    </w:p>
    <w:p>
      <w:pPr>
        <w:spacing w:after="120" w:before="0" w:line="360" w:lineRule="auto"/>
        <w:jc w:val="left"/>
      </w:pPr>
      <w:r>
        <w:rPr>
          <w:rFonts w:ascii="Times New Roman" w:cs="Times New Roman" w:eastAsia="Times New Roman" w:hAnsi="Times New Roman"/>
          <w:b/>
          <w:bCs/>
          <w:sz w:val="24"/>
          <w:szCs w:val="24"/>
        </w:rPr>
        <w:t xml:space="preserve">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pStyle w:val="Heading1"/>
        <w:spacing w:after="120" w:before="240" w:line="360" w:lineRule="auto"/>
        <w:jc w:val="left"/>
      </w:pPr>
      <w:r>
        <w:rPr>
          <w:rFonts w:ascii="Times New Roman" w:cs="Times New Roman" w:eastAsia="Times New Roman" w:hAnsi="Times New Roman"/>
          <w:b/>
          <w:bCs/>
          <w:sz w:val="24"/>
          <w:szCs w:val="24"/>
        </w:rPr>
        <w:t xml:space="preserve">Leyendas de Figuras</w:t>
      </w:r>
    </w:p>
    <w:p>
      <w:pPr>
        <w:spacing w:after="120" w:before="0" w:line="360" w:lineRule="auto"/>
      </w:pPr>
      <w:r>
        <w:rPr>
          <w:rFonts w:ascii="Times New Roman" w:cs="Times New Roman" w:eastAsia="Times New Roman" w:hAnsi="Times New Roman"/>
          <w:i/>
          <w:iCs/>
          <w:sz w:val="24"/>
          <w:szCs w:val="24"/>
        </w:rPr>
        <w:t xml:space="preserve">[Las figuras se adjuntan como archivos separados en formato JPEG/PNG a 300 dpi, nombrados según la página y párrafo del manuscrito donde se ubican.]</w:t>
      </w:r>
    </w:p>
    <w:p>
      <w:pPr>
        <w:spacing w:after="120" w:before="0" w:line="360" w:lineRule="auto"/>
        <w:jc w:val="left"/>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sz w:val="24"/>
          <w:szCs w:val="24"/>
        </w:rPr>
        <w:t xml:space="preserve">Análisis de componentes principales (PCA) sobre las curvas de SpO₂ normalizadas (85.277 EDOs). Scree plot, perfiles de carga de CP1–CP3 y proyección de eventos en el espacio PCA coloreados por morfotipo; los tres componentes explican el 83.9% de la varianza total.</w:t>
      </w:r>
    </w:p>
    <w:p>
      <w:pPr>
        <w:spacing w:after="120" w:before="0" w:line="360" w:lineRule="auto"/>
        <w:jc w:val="left"/>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sz w:val="24"/>
          <w:szCs w:val="24"/>
        </w:rPr>
        <w:t xml:space="preserve">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pPr>
        <w:spacing w:after="120" w:before="0" w:line="360" w:lineRule="auto"/>
        <w:jc w:val="left"/>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sz w:val="24"/>
          <w:szCs w:val="24"/>
        </w:rPr>
        <w:t xml:space="preserve">Perfiles de frecuencia cardíaca (A) y movimiento (B) durante los EDOs por morfotipo (mediana ± IQR). C4 exhibe la mayor respuesta de FC (+3.4 lpm) con movimiento moderado; C3 y C5 muestran movimiento elevado con respuesta cardíaca modesta, evidenciando la disociación FC/MOV.</w:t>
      </w:r>
    </w:p>
    <w:p>
      <w:pPr>
        <w:spacing w:after="120" w:before="0" w:line="360" w:lineRule="auto"/>
        <w:jc w:val="left"/>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sz w:val="24"/>
          <w:szCs w:val="24"/>
        </w:rPr>
        <w:t xml:space="preserve">Curva ROC del ARI para discriminar eventos de morfotipo severo (C4+C5) vs. no severo (C1–C3). AUC=0.453, no superior al azar, confirmando que el ARI no predice la severidad morfológica del evento.</w:t>
      </w:r>
    </w:p>
    <w:p>
      <w:pPr>
        <w:spacing w:after="120" w:before="0" w:line="360" w:lineRule="auto"/>
        <w:jc w:val="left"/>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sz w:val="24"/>
          <w:szCs w:val="24"/>
        </w:rPr>
        <w:t xml:space="preserve">ARI como dimensión ortogonal. A: mediana del ARI por cluster morfológico (IC 95% bootstrap); rango 0.44–0.52 sin tendencia monótona. B: distribución del ARI vs. severidad morfológica (hexbin, n=84.248); la uniformidad confirma ρ=0.034.</w:t>
      </w:r>
    </w:p>
    <w:p>
      <w:pPr>
        <w:spacing w:after="120" w:before="0" w:line="360" w:lineRule="auto"/>
        <w:jc w:val="left"/>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sz w:val="24"/>
          <w:szCs w:val="24"/>
        </w:rPr>
        <w:t xml:space="preserve">Análisis intra-estrato: variables clínicas por subgrupo de ARI (alto vs. bajo) dentro de cada estrato ODI3. (a) Ganancia de FC (lpm/pp). (b) Fracción de eventos C4+C5. (c) T90. El ODI3 no difiere entre subgrupos en ningún estrato (ns).</w:t>
      </w:r>
    </w:p>
    <w:p>
      <w:pPr>
        <w:spacing w:after="120" w:before="0" w:line="360" w:lineRule="auto"/>
        <w:jc w:val="left"/>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sz w:val="24"/>
          <w:szCs w:val="24"/>
        </w:rPr>
        <w:t xml:space="preserve">Estabilización multi-noche del ODI3. A: MAE vs. número de noches (bootstrap, 300 iteraciones); umbral de 2 ev/h alcanzado a partir de la 5ª noche. B: ICC(1,1) vs. N noches, de 0.70 (1 noche) a 0.99 (14 noches).</w:t>
      </w:r>
    </w:p>
    <w:p>
      <w:pPr>
        <w:spacing w:after="120" w:before="0" w:line="360" w:lineRule="auto"/>
        <w:jc w:val="left"/>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sz w:val="24"/>
          <w:szCs w:val="24"/>
        </w:rPr>
        <w:t xml:space="preserve">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pPr>
        <w:pStyle w:val="Heading1"/>
        <w:spacing w:after="120" w:before="240" w:line="360" w:lineRule="auto"/>
        <w:jc w:val="left"/>
      </w:pPr>
      <w:r>
        <w:rPr>
          <w:rFonts w:ascii="Times New Roman" w:cs="Times New Roman" w:eastAsia="Times New Roman" w:hAnsi="Times New Roman"/>
          <w:b/>
          <w:bCs/>
          <w:sz w:val="24"/>
          <w:szCs w:val="24"/>
        </w:rPr>
        <w:t xml:space="preserve">Referencias</w:t>
      </w:r>
    </w:p>
    <w:p>
      <w:pPr>
        <w:spacing w:after="120" w:before="0" w:line="360" w:lineRule="auto"/>
        <w:jc w:val="left"/>
      </w:pPr>
      <w:r>
        <w:rPr>
          <w:rFonts w:ascii="Times New Roman" w:cs="Times New Roman" w:eastAsia="Times New Roman" w:hAnsi="Times New Roman"/>
          <w:sz w:val="24"/>
          <w:szCs w:val="24"/>
        </w:rPr>
        <w:t xml:space="preserve">1. Young T, Palta M, Dempsey J, Skatrud J, Weber S, Badr S. The occurrence of sleep-disordered breathing among middle-aged adults. N Engl J Med. 1993;328(17):1230–1235. https://doi.org/10.1056/NEJM199304293281704</w:t>
      </w:r>
    </w:p>
    <w:p>
      <w:pPr>
        <w:spacing w:after="120" w:before="0" w:line="360" w:lineRule="auto"/>
        <w:jc w:val="left"/>
      </w:pPr>
      <w:r>
        <w:rPr>
          <w:rFonts w:ascii="Times New Roman" w:cs="Times New Roman" w:eastAsia="Times New Roman" w:hAnsi="Times New Roman"/>
          <w:sz w:val="24"/>
          <w:szCs w:val="24"/>
        </w:rPr>
        <w:t xml:space="preserve">2. Peppard PE, Young T, Barnet JH, Palta M, Hagen EW, Hla KM. Increased prevalence of sleep-disordered breathing in adults. Am J Epidemiol. 2013;177(9):1006–1014. https://doi.org/10.1093/aje/kws342</w:t>
      </w:r>
    </w:p>
    <w:p>
      <w:pPr>
        <w:spacing w:after="120" w:before="0" w:line="360" w:lineRule="auto"/>
        <w:jc w:val="left"/>
      </w:pPr>
      <w:r>
        <w:rPr>
          <w:rFonts w:ascii="Times New Roman" w:cs="Times New Roman" w:eastAsia="Times New Roman" w:hAnsi="Times New Roman"/>
          <w:sz w:val="24"/>
          <w:szCs w:val="24"/>
        </w:rPr>
        <w:t xml:space="preserve">3. Punjabi NM, Caffo BS, Goodwin JL, et al. Sleep-disordered breathing and mortality: a prospective cohort study. PLoS Med. 2009;6(8):e1000132. https://doi.org/10.1371/journal.pmed.1000132</w:t>
      </w:r>
    </w:p>
    <w:p>
      <w:pPr>
        <w:spacing w:after="120" w:before="0" w:line="360" w:lineRule="auto"/>
        <w:jc w:val="left"/>
      </w:pPr>
      <w:r>
        <w:rPr>
          <w:rFonts w:ascii="Times New Roman" w:cs="Times New Roman" w:eastAsia="Times New Roman" w:hAnsi="Times New Roman"/>
          <w:sz w:val="24"/>
          <w:szCs w:val="24"/>
        </w:rPr>
        <w:t xml:space="preserve">4. Berry RB, Brooks R, Gamaldo CE, et al. AASM Manual for the Scoring of Sleep and Associated Events. Version 2.6. Darien, IL: American Academy of Sleep Medicine; 2020.</w:t>
      </w:r>
    </w:p>
    <w:p>
      <w:pPr>
        <w:spacing w:after="120" w:before="0" w:line="360" w:lineRule="auto"/>
        <w:jc w:val="left"/>
      </w:pPr>
      <w:r>
        <w:rPr>
          <w:rFonts w:ascii="Times New Roman" w:cs="Times New Roman" w:eastAsia="Times New Roman" w:hAnsi="Times New Roman"/>
          <w:sz w:val="24"/>
          <w:szCs w:val="24"/>
        </w:rPr>
        <w:t xml:space="preserve">5. Azarbarzin A, Sands SA, Stone KL, et al. The hypoxic burden of sleep apnoea predicts cardiovascular disease-related mortality: the Osteoporotic Fractures in Men Study and the Sleep Heart Health Study. Eur Heart J. 2019;40(14):1149–1157. https://doi.org/10.1093/eurheartj/ehy624</w:t>
      </w:r>
    </w:p>
    <w:p>
      <w:pPr>
        <w:spacing w:after="120" w:before="0" w:line="360" w:lineRule="auto"/>
        <w:jc w:val="left"/>
      </w:pPr>
      <w:r>
        <w:rPr>
          <w:rFonts w:ascii="Times New Roman" w:cs="Times New Roman" w:eastAsia="Times New Roman" w:hAnsi="Times New Roman"/>
          <w:sz w:val="24"/>
          <w:szCs w:val="24"/>
        </w:rPr>
        <w:t xml:space="preserve">6. Marin JM, Carrizo SJ, Vicente E, Agusti AG. Long-term cardiovascular outcomes in men with obstructive sleep apnoea-hypopnoea with or without treatment with CPAP. Lancet. 2005;365(9464):1046–1053. https://doi.org/10.1016/S0140-6736(05)71141-7</w:t>
      </w:r>
    </w:p>
    <w:p>
      <w:pPr>
        <w:spacing w:after="120" w:before="0" w:line="360" w:lineRule="auto"/>
        <w:jc w:val="left"/>
      </w:pPr>
      <w:r>
        <w:rPr>
          <w:rFonts w:ascii="Times New Roman" w:cs="Times New Roman" w:eastAsia="Times New Roman" w:hAnsi="Times New Roman"/>
          <w:sz w:val="24"/>
          <w:szCs w:val="24"/>
        </w:rPr>
        <w:t xml:space="preserve">7. Collop NA, Anderson WM, Boehlecke B, et al. Clinical guidelines for the use of unattended portable monitors in the diagnosis of obstructive sleep apnea in adult patients. J Clin Sleep Med. 2007;3(7):737–747. https://doi.org/10.5664/jcsm.26925</w:t>
      </w:r>
    </w:p>
    <w:p>
      <w:pPr>
        <w:spacing w:after="120" w:before="0" w:line="360" w:lineRule="auto"/>
        <w:jc w:val="left"/>
      </w:pPr>
      <w:r>
        <w:rPr>
          <w:rFonts w:ascii="Times New Roman" w:cs="Times New Roman" w:eastAsia="Times New Roman" w:hAnsi="Times New Roman"/>
          <w:sz w:val="24"/>
          <w:szCs w:val="24"/>
        </w:rPr>
        <w:t xml:space="preserve">8. Bittencourt LR, Suchecki D, Tufik S, et al. The variability of the apnoea-hypopnoea index. J Sleep Res. 2001;10(3):245–251. https://doi.org/10.1046/j.1365-2869.2001.00255.x</w:t>
      </w:r>
    </w:p>
    <w:p>
      <w:pPr>
        <w:spacing w:after="120" w:before="0" w:line="360" w:lineRule="auto"/>
        <w:jc w:val="left"/>
      </w:pPr>
      <w:r>
        <w:rPr>
          <w:rFonts w:ascii="Times New Roman" w:cs="Times New Roman" w:eastAsia="Times New Roman" w:hAnsi="Times New Roman"/>
          <w:sz w:val="24"/>
          <w:szCs w:val="24"/>
        </w:rPr>
        <w:t xml:space="preserve">9. Levendowski DJ, Zack N, Rao S, et al. Assessment of the test-retest reliability of laboratory polysomnography. Sleep Breath. 2009;13(2):163–167. https://doi.org/10.1007/s11325-008-0214-6</w:t>
      </w:r>
    </w:p>
    <w:p>
      <w:pPr>
        <w:spacing w:after="120" w:before="0" w:line="360" w:lineRule="auto"/>
        <w:jc w:val="left"/>
      </w:pPr>
      <w:r>
        <w:rPr>
          <w:rFonts w:ascii="Times New Roman" w:cs="Times New Roman" w:eastAsia="Times New Roman" w:hAnsi="Times New Roman"/>
          <w:sz w:val="24"/>
          <w:szCs w:val="24"/>
        </w:rPr>
        <w:t xml:space="preserve">10. Eckert DJ, White DP, Jordan AS, Malhotra A, Wellman A. Defining phenotypic causes of obstructive sleep apnea: identification of novel therapeutic targets. Am J Respir Crit Care Med. 2013;188(8):996–1004. https://doi.org/10.1164/rccm.201303-0448OC</w:t>
      </w:r>
    </w:p>
    <w:p>
      <w:pPr>
        <w:spacing w:after="120" w:before="0" w:line="360" w:lineRule="auto"/>
        <w:jc w:val="left"/>
      </w:pPr>
      <w:r>
        <w:rPr>
          <w:rFonts w:ascii="Times New Roman" w:cs="Times New Roman" w:eastAsia="Times New Roman" w:hAnsi="Times New Roman"/>
          <w:sz w:val="24"/>
          <w:szCs w:val="24"/>
        </w:rPr>
        <w:t xml:space="preserve">11. Ye L, Pien GW, Ratcliffe SJ, et al. The different clinical faces of obstructive sleep apnoea: a cluster analysis. Eur Respir J. 2014;44(6):1600–1607. https://doi.org/10.1183/09031936.00032314</w:t>
      </w:r>
    </w:p>
    <w:p>
      <w:pPr>
        <w:spacing w:after="120" w:before="0" w:line="360" w:lineRule="auto"/>
        <w:jc w:val="left"/>
      </w:pPr>
      <w:r>
        <w:rPr>
          <w:rFonts w:ascii="Times New Roman" w:cs="Times New Roman" w:eastAsia="Times New Roman" w:hAnsi="Times New Roman"/>
          <w:sz w:val="24"/>
          <w:szCs w:val="24"/>
        </w:rPr>
        <w:t xml:space="preserve">12. Shrout PE, Fleiss JL. Intraclass correlations: uses in assessing rater reliability. Psychol Bull. 1979;86(2):420–428. https://doi.org/10.1037/0033-2909.86.2.420</w:t>
      </w:r>
    </w:p>
    <w:p>
      <w:pPr>
        <w:spacing w:after="120" w:before="0" w:line="360" w:lineRule="auto"/>
        <w:jc w:val="left"/>
      </w:pPr>
      <w:r>
        <w:rPr>
          <w:rFonts w:ascii="Times New Roman" w:cs="Times New Roman" w:eastAsia="Times New Roman" w:hAnsi="Times New Roman"/>
          <w:sz w:val="24"/>
          <w:szCs w:val="24"/>
        </w:rPr>
        <w:t xml:space="preserve">13. Bland JM, Altman DG. Statistical methods for assessing agreement between two methods of clinical measurement. Lancet. 1986;1(8476):307–310. https://doi.org/10.1016/S0140-6736(86)90837-8</w:t>
      </w:r>
    </w:p>
    <w:p>
      <w:pPr>
        <w:spacing w:after="120" w:before="0" w:line="360" w:lineRule="auto"/>
        <w:jc w:val="left"/>
      </w:pPr>
      <w:r>
        <w:rPr>
          <w:rFonts w:ascii="Times New Roman" w:cs="Times New Roman" w:eastAsia="Times New Roman" w:hAnsi="Times New Roman"/>
          <w:sz w:val="24"/>
          <w:szCs w:val="24"/>
        </w:rPr>
        <w:t xml:space="preserve">14. Somers VK, Dyken ME, Mark AL, Abboud FM. Sympathetic-nerve activity during sleep in normal subjects. N Engl J Med. 1993;328(5):303–307. https://doi.org/10.1056/NEJM199302043280502</w:t>
      </w:r>
    </w:p>
    <w:p>
      <w:pPr>
        <w:spacing w:after="120" w:before="0" w:line="360" w:lineRule="auto"/>
        <w:jc w:val="left"/>
      </w:pPr>
      <w:r>
        <w:rPr>
          <w:rFonts w:ascii="Times New Roman" w:cs="Times New Roman" w:eastAsia="Times New Roman" w:hAnsi="Times New Roman"/>
          <w:sz w:val="24"/>
          <w:szCs w:val="24"/>
        </w:rPr>
        <w:t xml:space="preserve">15. Dempsey JA, Veasey SC, Morgan BJ, O’Donnell CP. Pathophysiology of sleep apnea. Physiol Rev. 2010;90(1):47–112. https://doi.org/10.1152/physrev.00043.2008</w:t>
      </w:r>
    </w:p>
    <w:p>
      <w:pPr>
        <w:spacing w:after="120" w:before="0" w:line="360" w:lineRule="auto"/>
        <w:jc w:val="left"/>
      </w:pPr>
      <w:r>
        <w:rPr>
          <w:rFonts w:ascii="Times New Roman" w:cs="Times New Roman" w:eastAsia="Times New Roman" w:hAnsi="Times New Roman"/>
          <w:sz w:val="24"/>
          <w:szCs w:val="24"/>
        </w:rPr>
        <w:t xml:space="preserve">16. Shamsuzzaman AS, Gersh BJ, Somers VK. Obstructive sleep apnea: implications for cardiac and vascular disease. JAMA. 2003;290(14):1906–1914. https://doi.org/10.1001/jama.290.14.1906</w:t>
      </w:r>
    </w:p>
    <w:p>
      <w:pPr>
        <w:spacing w:after="120" w:before="0" w:line="360" w:lineRule="auto"/>
        <w:jc w:val="left"/>
      </w:pPr>
      <w:r>
        <w:rPr>
          <w:rFonts w:ascii="Times New Roman" w:cs="Times New Roman" w:eastAsia="Times New Roman" w:hAnsi="Times New Roman"/>
          <w:sz w:val="24"/>
          <w:szCs w:val="24"/>
        </w:rPr>
        <w:t xml:space="preserve">17. Narkiewicz K, Somers VK. Sympathetic nerve activity in obstructive sleep apnoea. Acta Physiol Scand. 2003;177(3):385–390. https://doi.org/10.1046/j.1365-201X.2003.01091.x</w:t>
      </w:r>
    </w:p>
    <w:p>
      <w:pPr>
        <w:spacing w:after="120" w:before="0" w:line="360" w:lineRule="auto"/>
        <w:jc w:val="left"/>
      </w:pPr>
      <w:r>
        <w:rPr>
          <w:rFonts w:ascii="Times New Roman" w:cs="Times New Roman" w:eastAsia="Times New Roman" w:hAnsi="Times New Roman"/>
          <w:sz w:val="24"/>
          <w:szCs w:val="24"/>
        </w:rPr>
        <w:t xml:space="preserve">18. Zinchuk AV, Yaggi HK. Phenotypic subtypes of OSA: a challenge and opportunity for precision medicine. Chest. 2020;157(2):403–420. https://doi.org/10.1016/j.chest.2019.09.002</w:t>
      </w:r>
    </w:p>
    <w:p>
      <w:pPr>
        <w:spacing w:after="120" w:before="0" w:line="360" w:lineRule="auto"/>
        <w:jc w:val="left"/>
      </w:pPr>
      <w:r>
        <w:rPr>
          <w:rFonts w:ascii="Times New Roman" w:cs="Times New Roman" w:eastAsia="Times New Roman" w:hAnsi="Times New Roman"/>
          <w:sz w:val="24"/>
          <w:szCs w:val="24"/>
        </w:rPr>
        <w:t xml:space="preserve">19. Kohler M, Stradling JR. Mechanisms of vascular damage in obstructive sleep apnea. Nat Rev Cardiol. 2010;7(12):677–685. https://doi.org/10.1038/nrcardio.2010.145</w:t>
      </w:r>
    </w:p>
    <w:p>
      <w:pPr>
        <w:spacing w:after="120" w:before="0" w:line="360" w:lineRule="auto"/>
        <w:jc w:val="left"/>
      </w:pPr>
      <w:r>
        <w:rPr>
          <w:rFonts w:ascii="Times New Roman" w:cs="Times New Roman" w:eastAsia="Times New Roman" w:hAnsi="Times New Roman"/>
          <w:sz w:val="24"/>
          <w:szCs w:val="24"/>
        </w:rPr>
        <w:t xml:space="preserve">20. Narkiewicz K, Somers VK, Montano N, et al. Contribution of tonic chemoreflex activation to sympathetic activity and blood pressure in patients with obstructive sleep apnea. Circulation. 1998;97(10):943–945. https://doi.org/10.1161/01.cir.97.10.943</w:t>
      </w:r>
    </w:p>
    <w:p>
      <w:pPr>
        <w:spacing w:after="120" w:before="0" w:line="360" w:lineRule="auto"/>
        <w:jc w:val="left"/>
      </w:pPr>
      <w:r>
        <w:rPr>
          <w:rFonts w:ascii="Times New Roman" w:cs="Times New Roman" w:eastAsia="Times New Roman" w:hAnsi="Times New Roman"/>
          <w:sz w:val="24"/>
          <w:szCs w:val="24"/>
        </w:rPr>
        <w:t xml:space="preserve">21. Bailly S, Destors M, Grillet Y, et al. Obstructive sleep apnea: a cluster analysis at time of diagnosis. PLoS One. 2016;11(6):e0157318. https://doi.org/10.1371/journal.pone.0157318</w:t>
      </w:r>
    </w:p>
    <w:p>
      <w:pPr>
        <w:spacing w:after="120" w:before="0" w:line="360" w:lineRule="auto"/>
        <w:jc w:val="left"/>
      </w:pPr>
      <w:r>
        <w:rPr>
          <w:rFonts w:ascii="Times New Roman" w:cs="Times New Roman" w:eastAsia="Times New Roman" w:hAnsi="Times New Roman"/>
          <w:sz w:val="24"/>
          <w:szCs w:val="24"/>
        </w:rPr>
        <w:t xml:space="preserve">22. Gabryelska A, Szmyd B, Szemraj J, Stawski R, Sochal M, Białasiewicz P. Patients with obstructive sleep apnea present with chronic upregulation of serum HIF-1α protein. J Clin Sleep Med. 2020;16(10):1761–1768. https://doi.org/10.5664/jcsm.8682</w:t>
      </w:r>
    </w:p>
    <w:p>
      <w:pPr>
        <w:spacing w:after="120" w:before="0" w:line="360" w:lineRule="auto"/>
        <w:jc w:val="left"/>
      </w:pPr>
      <w:r>
        <w:rPr>
          <w:rFonts w:ascii="Times New Roman" w:cs="Times New Roman" w:eastAsia="Times New Roman" w:hAnsi="Times New Roman"/>
          <w:sz w:val="24"/>
          <w:szCs w:val="24"/>
        </w:rPr>
        <w:t xml:space="preserve">23. Kapur VK, Auckley DH, Chowdhuri S, et al. Clinical practice guideline for diagnostic testing for adult obstructive sleep apnea. J Clin Sleep Med. 2017;13(3):479–504. https://doi.org/10.5664/jcsm.6506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2026-05-23T00:09:51.217Z</dcterms:created>
  <dcterms:modified xsi:type="dcterms:W3CDTF">2026-05-23T00:09:51.218Z</dcterms:modified>
</cp:coreProperties>
</file>

<file path=docProps/custom.xml><?xml version="1.0" encoding="utf-8"?>
<Properties xmlns="http://schemas.openxmlformats.org/officeDocument/2006/custom-properties" xmlns:vt="http://schemas.openxmlformats.org/officeDocument/2006/docPropsVTypes"/>
</file>