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rFonts w:ascii="Times New Roman" w:cs="Times New Roman" w:eastAsia="Times New Roman" w:hAnsi="Times New Roman"/>
          <w:b/>
          <w:bCs/>
          <w:sz w:val="24"/>
          <w:szCs w:val="24"/>
        </w:rPr>
        <w:t xml:space="preserve">CARÁTULA DE PRESENTACIÓN</w:t>
      </w:r>
    </w:p>
    <w:p>
      <w:pPr>
        <w:spacing w:after="60" w:before="120" w:line="360" w:lineRule="auto"/>
        <w:jc w:val="left"/>
      </w:pPr>
      <w:r>
        <w:rPr>
          <w:rFonts w:ascii="Times New Roman" w:cs="Times New Roman" w:eastAsia="Times New Roman" w:hAnsi="Times New Roman"/>
          <w:b/>
          <w:bCs/>
          <w:sz w:val="24"/>
          <w:szCs w:val="24"/>
        </w:rPr>
        <w:t xml:space="preserve">Título (español):</w:t>
      </w:r>
    </w:p>
    <w:p>
      <w:pPr>
        <w:spacing w:after="120" w:before="0" w:line="360" w:lineRule="auto"/>
        <w:jc w:val="left"/>
      </w:pPr>
      <w:r>
        <w:rPr>
          <w:rFonts w:ascii="Times New Roman" w:cs="Times New Roman" w:eastAsia="Times New Roman" w:hAnsi="Times New Roman"/>
          <w:sz w:val="24"/>
          <w:szCs w:val="24"/>
        </w:rPr>
        <w:t xml:space="preserve">Fenotipado morfológico y respuesta autonómica en eventos de desaturación nocturna: un enfoque basado en datos más allá de los índices clásicos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Title (English):</w:t>
      </w:r>
    </w:p>
    <w:p>
      <w:pPr>
        <w:spacing w:after="120" w:before="0" w:line="360" w:lineRule="auto"/>
        <w:jc w:val="left"/>
      </w:pPr>
      <w:r>
        <w:rPr>
          <w:rFonts w:ascii="Times New Roman" w:cs="Times New Roman" w:eastAsia="Times New Roman" w:hAnsi="Times New Roman"/>
          <w:sz w:val="24"/>
          <w:szCs w:val="24"/>
        </w:rPr>
        <w:t xml:space="preserve">Data-driven morphotyping of nocturnal oxygen desaturation events reveals distinct autonomic response phenotypes beyond traditional severity indices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Autores y afiliaciones:</w:t>
      </w:r>
    </w:p>
    <w:p>
      <w:pPr>
        <w:spacing w:after="120" w:before="0" w:line="360" w:lineRule="auto"/>
        <w:jc w:val="left"/>
      </w:pPr>
      <w:r>
        <w:rPr>
          <w:rFonts w:ascii="Times New Roman" w:cs="Times New Roman" w:eastAsia="Times New Roman" w:hAnsi="Times New Roman"/>
          <w:sz w:val="24"/>
          <w:szCs w:val="24"/>
        </w:rPr>
        <w:t xml:space="preserve">Dr. Diego Delia — Médico Anestesiólogo, Sanatorio Mater Dei, Departamento de Anestesiología, Buenos Aires, Argentina</w:t>
      </w:r>
    </w:p>
    <w:p>
      <w:pPr>
        <w:spacing w:after="120" w:before="0" w:line="360" w:lineRule="auto"/>
        <w:jc w:val="left"/>
      </w:pPr>
      <w:r>
        <w:rPr>
          <w:rFonts w:ascii="Times New Roman" w:cs="Times New Roman" w:eastAsia="Times New Roman" w:hAnsi="Times New Roman"/>
          <w:sz w:val="24"/>
          <w:szCs w:val="24"/>
        </w:rPr>
        <w:t xml:space="preserve">Dr. Roberto Inza — </w:t>
      </w:r>
      <w:r>
        <w:rPr>
          <w:rFonts w:ascii="Times New Roman" w:cs="Times New Roman" w:eastAsia="Times New Roman" w:hAnsi="Times New Roman"/>
          <w:sz w:val="24"/>
          <w:szCs w:val="24"/>
        </w:rPr>
        <w:t xml:space="preserve">Médico Ginecólogo, Instituto de Fertilidad y Reproducción (IFER), Buenos Aires, Argentina. Diplomado en Ciencia de Datos, UADE. Maestrando en Ciencia de Datos, Universidad Austral.</w:t>
      </w:r>
    </w:p>
    <w:p>
      <w:pPr>
        <w:spacing w:after="120" w:before="0" w:line="360" w:lineRule="auto"/>
        <w:jc w:val="left"/>
      </w:pPr>
      <w:r>
        <w:rPr>
          <w:rFonts w:ascii="Times New Roman" w:cs="Times New Roman" w:eastAsia="Times New Roman" w:hAnsi="Times New Roman"/>
          <w:b/>
          <w:bCs/>
          <w:sz w:val="24"/>
          <w:szCs w:val="24"/>
        </w:rPr>
        <w:t xml:space="preserve">Contribuciones: </w:t>
      </w:r>
      <w:r>
        <w:rPr>
          <w:rFonts w:ascii="Times New Roman" w:cs="Times New Roman" w:eastAsia="Times New Roman" w:hAnsi="Times New Roman"/>
          <w:sz w:val="24"/>
          <w:szCs w:val="24"/>
        </w:rPr>
        <w:t xml:space="preserve">Dr. Diego: concepción del estudio, reclutamiento de pacientes, interpretación clínica de resultados. Dr. Inza: diseño metodológico, procesamiento y análisis de señales, desarrollo del pipeline PAC_v3, modelado estadístico, redacción del manuscrito.</w:t>
      </w:r>
    </w:p>
    <w:p>
      <w:pPr>
        <w:spacing w:after="120" w:before="0" w:line="360" w:lineRule="auto"/>
        <w:jc w:val="left"/>
      </w:pPr>
      <w:r>
        <w:rPr>
          <w:rFonts w:ascii="Times New Roman" w:cs="Times New Roman" w:eastAsia="Times New Roman" w:hAnsi="Times New Roman"/>
          <w:sz w:val="24"/>
          <w:szCs w:val="24"/>
        </w:rPr>
        <w:t xml:space="preserve">Autor de correspondencia: Dr. Roberto Inza | Correo electrónico: </w:t>
      </w:r>
      <w:r>
        <w:rPr>
          <w:rFonts w:ascii="Times New Roman" w:cs="Times New Roman" w:eastAsia="Times New Roman" w:hAnsi="Times New Roman"/>
          <w:i/>
          <w:iCs/>
          <w:sz w:val="24"/>
          <w:szCs w:val="24"/>
        </w:rPr>
        <w:t xml:space="preserve">robertoinza@gmail.com</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Resumen estructurado (español):</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Palabras clave (español):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Structured Abstract (English):</w:t>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Keywords (English):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Declaración de 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spacing w:line="360"/>
      </w:pPr>
      <w:r>
        <w:rPr>
          <w:rFonts w:ascii="Times New Roman" w:cs="Times New Roman" w:eastAsia="Times New Roman" w:hAnsi="Times New Roman"/>
          <w:sz w:val="24"/>
          <w:szCs w:val="24"/>
        </w:rPr>
        <w:t xml:space="preserve"/>
      </w:r>
    </w:p>
    <w:p>
      <w:r>
        <w:br w:type="page"/>
      </w:r>
    </w:p>
    <w:p>
      <w:pPr>
        <w:spacing w:after="60" w:before="0" w:line="360" w:lineRule="auto"/>
        <w:jc w:val="center"/>
      </w:pPr>
      <w:r>
        <w:rPr>
          <w:rFonts w:ascii="Times New Roman" w:cs="Times New Roman" w:eastAsia="Times New Roman" w:hAnsi="Times New Roman"/>
          <w:b/>
          <w:bCs/>
          <w:sz w:val="24"/>
          <w:szCs w:val="24"/>
        </w:rPr>
        <w:t xml:space="preserve">TEXTO PRINCIPAL</w:t>
      </w:r>
    </w:p>
    <w:p>
      <w:pPr>
        <w:spacing w:after="240" w:before="0" w:line="360" w:lineRule="auto"/>
        <w:jc w:val="center"/>
      </w:pPr>
      <w:r>
        <w:rPr>
          <w:rFonts w:ascii="Times New Roman" w:cs="Times New Roman" w:eastAsia="Times New Roman" w:hAnsi="Times New Roman"/>
          <w:i/>
          <w:iCs/>
          <w:sz w:val="24"/>
          <w:szCs w:val="24"/>
        </w:rPr>
        <w:t xml:space="preserve">(Deidentificado — sin datos de autores)</w:t>
      </w:r>
    </w:p>
    <w:p>
      <w:pPr>
        <w:spacing w:after="60" w:before="0" w:line="360" w:lineRule="auto"/>
        <w:jc w:val="center"/>
      </w:pPr>
      <w:r>
        <w:rPr>
          <w:rFonts w:ascii="Times New Roman" w:cs="Times New Roman" w:eastAsia="Times New Roman" w:hAnsi="Times New Roman"/>
          <w:b/>
          <w:bCs/>
          <w:sz w:val="24"/>
          <w:szCs w:val="24"/>
        </w:rPr>
        <w:t xml:space="preserve">Fenotipado morfológico y respuesta autonómica en eventos de desaturación nocturna: un enfoque basado en datos más allá de los índices clásicos</w:t>
      </w:r>
    </w:p>
    <w:p>
      <w:pPr>
        <w:spacing w:after="240" w:before="0" w:line="360" w:lineRule="auto"/>
        <w:jc w:val="center"/>
      </w:pPr>
      <w:r>
        <w:rPr>
          <w:rFonts w:ascii="Times New Roman" w:cs="Times New Roman" w:eastAsia="Times New Roman" w:hAnsi="Times New Roman"/>
          <w:i/>
          <w:iCs/>
          <w:sz w:val="24"/>
          <w:szCs w:val="24"/>
        </w:rPr>
        <w:t xml:space="preserve">Data-driven morphotyping of nocturnal oxygen desaturation events reveals distinct autonomic response phenotypes beyond traditional severity indices</w:t>
      </w:r>
    </w:p>
    <w:p>
      <w:pPr>
        <w:pStyle w:val="Heading1"/>
        <w:spacing w:after="120" w:before="240" w:line="360" w:lineRule="auto"/>
        <w:jc w:val="left"/>
      </w:pPr>
      <w:r>
        <w:rPr>
          <w:rFonts w:ascii="Times New Roman" w:cs="Times New Roman" w:eastAsia="Times New Roman" w:hAnsi="Times New Roman"/>
          <w:b/>
          <w:bCs/>
          <w:sz w:val="24"/>
          <w:szCs w:val="24"/>
        </w:rPr>
        <w:t xml:space="preserve">Resumen / Abstract</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after="120" w:before="0" w:line="360" w:lineRule="auto"/>
        <w:jc w:val="left"/>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after="120" w:before="0" w:line="36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pStyle w:val="Heading1"/>
        <w:spacing w:after="120" w:before="240" w:line="360" w:lineRule="auto"/>
        <w:jc w:val="left"/>
      </w:pPr>
      <w:r>
        <w:rPr>
          <w:rFonts w:ascii="Times New Roman" w:cs="Times New Roman" w:eastAsia="Times New Roman" w:hAnsi="Times New Roman"/>
          <w:b/>
          <w:bCs/>
          <w:sz w:val="24"/>
          <w:szCs w:val="24"/>
        </w:rPr>
        <w:t xml:space="preserve">1. Introducción</w:t>
      </w:r>
    </w:p>
    <w:p>
      <w:pPr>
        <w:spacing w:after="120" w:before="0" w:line="360" w:lineRule="auto"/>
        <w:jc w:val="left"/>
      </w:pPr>
      <w:r>
        <w:rPr>
          <w:rFonts w:ascii="Times New Roman" w:cs="Times New Roman" w:eastAsia="Times New Roman" w:hAnsi="Times New Roman"/>
          <w:sz w:val="24"/>
          <w:szCs w:val="24"/>
        </w:rPr>
        <w:t xml:space="preserve">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pPr>
        <w:spacing w:after="120" w:before="0" w:line="360" w:lineRule="auto"/>
        <w:jc w:val="left"/>
      </w:pPr>
      <w:r>
        <w:rPr>
          <w:rFonts w:ascii="Times New Roman" w:cs="Times New Roman" w:eastAsia="Times New Roman" w:hAnsi="Times New Roman"/>
          <w:sz w:val="24"/>
          <w:szCs w:val="24"/>
        </w:rPr>
        <w:t xml:space="preserve">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pPr>
        <w:spacing w:after="120" w:before="0" w:line="360" w:lineRule="auto"/>
        <w:jc w:val="left"/>
      </w:pPr>
      <w:r>
        <w:rPr>
          <w:rFonts w:ascii="Times New Roman" w:cs="Times New Roman" w:eastAsia="Times New Roman" w:hAnsi="Times New Roman"/>
          <w:sz w:val="24"/>
          <w:szCs w:val="24"/>
        </w:rPr>
        <w:t xml:space="preserve">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pPr>
        <w:spacing w:after="120" w:before="0" w:line="360" w:lineRule="auto"/>
        <w:jc w:val="left"/>
      </w:pPr>
      <w:r>
        <w:rPr>
          <w:rFonts w:ascii="Times New Roman" w:cs="Times New Roman" w:eastAsia="Times New Roman" w:hAnsi="Times New Roman"/>
          <w:sz w:val="24"/>
          <w:szCs w:val="24"/>
        </w:rPr>
        <w:t xml:space="preserve">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pPr>
        <w:pStyle w:val="Heading1"/>
        <w:spacing w:after="120" w:before="240" w:line="360" w:lineRule="auto"/>
        <w:jc w:val="left"/>
      </w:pPr>
      <w:r>
        <w:rPr>
          <w:rFonts w:ascii="Times New Roman" w:cs="Times New Roman" w:eastAsia="Times New Roman" w:hAnsi="Times New Roman"/>
          <w:b/>
          <w:bCs/>
          <w:sz w:val="24"/>
          <w:szCs w:val="24"/>
        </w:rPr>
        <w:t xml:space="preserve">2. Materiales y Métodos</w:t>
      </w:r>
    </w:p>
    <w:p>
      <w:pPr>
        <w:pStyle w:val="Heading2"/>
        <w:spacing w:after="80" w:before="180" w:line="360" w:lineRule="auto"/>
        <w:jc w:val="left"/>
      </w:pPr>
      <w:r>
        <w:rPr>
          <w:rFonts w:ascii="Times New Roman" w:cs="Times New Roman" w:eastAsia="Times New Roman" w:hAnsi="Times New Roman"/>
          <w:b/>
          <w:bCs/>
          <w:sz w:val="24"/>
          <w:szCs w:val="24"/>
        </w:rPr>
        <w:t xml:space="preserve">2.1 Diseño del estudio y cohorte</w:t>
      </w:r>
    </w:p>
    <w:p>
      <w:pPr>
        <w:spacing w:after="120" w:before="0" w:line="360" w:lineRule="auto"/>
        <w:jc w:val="left"/>
      </w:pPr>
      <w:r>
        <w:rPr>
          <w:rFonts w:ascii="Times New Roman" w:cs="Times New Roman" w:eastAsia="Times New Roman" w:hAnsi="Times New Roman"/>
          <w:sz w:val="24"/>
          <w:szCs w:val="24"/>
        </w:rPr>
        <w:t xml:space="preserve">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pPr>
        <w:pStyle w:val="Heading2"/>
        <w:spacing w:after="80" w:before="180" w:line="360" w:lineRule="auto"/>
        <w:jc w:val="left"/>
      </w:pPr>
      <w:r>
        <w:rPr>
          <w:rFonts w:ascii="Times New Roman" w:cs="Times New Roman" w:eastAsia="Times New Roman" w:hAnsi="Times New Roman"/>
          <w:b/>
          <w:bCs/>
          <w:sz w:val="24"/>
          <w:szCs w:val="24"/>
        </w:rPr>
        <w:t xml:space="preserve">2.2 Pipeline PAC_v3 y detección de eventos</w:t>
      </w:r>
    </w:p>
    <w:p>
      <w:pPr>
        <w:spacing w:after="120" w:before="0" w:line="360" w:lineRule="auto"/>
        <w:jc w:val="left"/>
      </w:pPr>
      <w:r>
        <w:rPr>
          <w:rFonts w:ascii="Times New Roman" w:cs="Times New Roman" w:eastAsia="Times New Roman" w:hAnsi="Times New Roman"/>
          <w:sz w:val="24"/>
          <w:szCs w:val="24"/>
        </w:rPr>
        <w:t xml:space="preserve">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pPr>
        <w:pStyle w:val="Heading2"/>
        <w:spacing w:after="80" w:before="180" w:line="360" w:lineRule="auto"/>
        <w:jc w:val="left"/>
      </w:pPr>
      <w:r>
        <w:rPr>
          <w:rFonts w:ascii="Times New Roman" w:cs="Times New Roman" w:eastAsia="Times New Roman" w:hAnsi="Times New Roman"/>
          <w:b/>
          <w:bCs/>
          <w:sz w:val="24"/>
          <w:szCs w:val="24"/>
        </w:rPr>
        <w:t xml:space="preserve">2.3 Análisis morfológico y ARI</w:t>
      </w:r>
    </w:p>
    <w:p>
      <w:pPr>
        <w:spacing w:after="120" w:before="0" w:line="360" w:lineRule="auto"/>
        <w:jc w:val="left"/>
      </w:pPr>
      <w:r>
        <w:rPr>
          <w:rFonts w:ascii="Times New Roman" w:cs="Times New Roman" w:eastAsia="Times New Roman" w:hAnsi="Times New Roman"/>
          <w:sz w:val="24"/>
          <w:szCs w:val="24"/>
        </w:rPr>
        <w:t xml:space="preserve">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pPr>
        <w:spacing w:after="120" w:before="0" w:line="360" w:lineRule="auto"/>
        <w:jc w:val="left"/>
      </w:pPr>
      <w:r>
        <w:rPr>
          <w:rFonts w:ascii="Times New Roman" w:cs="Times New Roman" w:eastAsia="Times New Roman" w:hAnsi="Times New Roman"/>
          <w:sz w:val="24"/>
          <w:szCs w:val="24"/>
        </w:rPr>
        <w:t xml:space="preserve">El Índice de Respuesta Autonómica (ARI) se definió como:</w:t>
      </w:r>
    </w:p>
    <w:p>
      <w:pPr>
        <w:spacing w:after="120" w:before="120" w:line="360" w:lineRule="auto"/>
        <w:jc w:val="center"/>
      </w:pPr>
      <w:r>
        <w:rPr>
          <w:rFonts w:ascii="Times New Roman" w:cs="Times New Roman" w:eastAsia="Times New Roman" w:hAnsi="Times New Roman"/>
          <w:i/>
          <w:iCs/>
          <w:sz w:val="24"/>
          <w:szCs w:val="24"/>
        </w:rPr>
        <w:t xml:space="preserve">ARI = 0.6 · Pct(ΔHR / ΔSpO₂) + 0.4 · Pct(ΔMov / ΔSpO₂)   (1)</w:t>
      </w:r>
    </w:p>
    <w:p>
      <w:pPr>
        <w:spacing w:after="120" w:before="0" w:line="360" w:lineRule="auto"/>
        <w:jc w:val="left"/>
      </w:pPr>
      <w:r>
        <w:rPr>
          <w:rFonts w:ascii="Times New Roman" w:cs="Times New Roman" w:eastAsia="Times New Roman" w:hAnsi="Times New Roman"/>
          <w:sz w:val="24"/>
          <w:szCs w:val="24"/>
        </w:rPr>
        <w:t xml:space="preserve">donde Pct(x) indica el rango percentil de x dentro de la distribución de eventos del propio paciente: transforma cada cociente en un valor entre 0 y 1, donde 0 representa la mínima respuesta registrada y 1 la máxima, permitiendo comparar entre pacientes con distintas magnitudes absolutas de respuesta.</w:t>
      </w:r>
    </w:p>
    <w:p>
      <w:pPr>
        <w:spacing w:after="120" w:before="0" w:line="360" w:lineRule="auto"/>
        <w:jc w:val="left"/>
      </w:pPr>
      <w:r>
        <w:rPr>
          <w:rFonts w:ascii="Times New Roman" w:cs="Times New Roman" w:eastAsia="Times New Roman" w:hAnsi="Times New Roman"/>
          <w:sz w:val="24"/>
          <w:szCs w:val="24"/>
        </w:rPr>
        <w:t xml:space="preserve">En términos prácticos, el ARI mide cuánto responden el corazón y el cuerpo ante cada caída de oxígeno, en proporción a la magnitud de esa caída.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pPr>
        <w:pStyle w:val="Heading2"/>
        <w:spacing w:after="80" w:before="180" w:line="360" w:lineRule="auto"/>
        <w:jc w:val="left"/>
      </w:pPr>
      <w:r>
        <w:rPr>
          <w:rFonts w:ascii="Times New Roman" w:cs="Times New Roman" w:eastAsia="Times New Roman" w:hAnsi="Times New Roman"/>
          <w:b/>
          <w:bCs/>
          <w:sz w:val="24"/>
          <w:szCs w:val="24"/>
        </w:rPr>
        <w:t xml:space="preserve">2.4 Validación interna multi-noche</w:t>
      </w:r>
    </w:p>
    <w:p>
      <w:pPr>
        <w:spacing w:after="120" w:before="0" w:line="360" w:lineRule="auto"/>
        <w:jc w:val="left"/>
      </w:pPr>
      <w:r>
        <w:rPr>
          <w:rFonts w:ascii="Times New Roman" w:cs="Times New Roman" w:eastAsia="Times New Roman" w:hAnsi="Times New Roman"/>
          <w:sz w:val="24"/>
          <w:szCs w:val="24"/>
        </w:rPr>
        <w:t xml:space="preserve">En ausencia de polisomnografía (PSG) como estándar externo, la validación se centró en tres preguntas prácticas: ¿qué tan consistente es el resultado de una noche a otra en el mismo paciente?; ¿cuánto error se comete al estimar el índice con una sola noche en lugar de promediar muchas?; y ¿a partir de cuántas noches el resultado se vuelve estable y confiable?12,13 Para cada pregunta se utilizaron métodos estadísticos estándar de reproducibilidad longitudinal (n=7 pacientes con ≥14 noches válidas): el coeficiente de correlación intraclase (ICC, que varía entre 0 y 1: valores próximos a 1 indican alta reproducibilidad entre noches; valores próximos a 0, alta variabilidad) y el análisis de Bland-Altman. La severidad nocturna se clasificó según el ODI3: Leve (&lt;5 ev/h), Moderado (5–15), Grave (15–30) y Muy grave (≥30).</w:t>
      </w:r>
    </w:p>
    <w:p>
      <w:pPr>
        <w:pStyle w:val="Heading1"/>
        <w:spacing w:after="120" w:before="240" w:line="360" w:lineRule="auto"/>
        <w:jc w:val="left"/>
      </w:pPr>
      <w:r>
        <w:rPr>
          <w:rFonts w:ascii="Times New Roman" w:cs="Times New Roman" w:eastAsia="Times New Roman" w:hAnsi="Times New Roman"/>
          <w:b/>
          <w:bCs/>
          <w:sz w:val="24"/>
          <w:szCs w:val="24"/>
        </w:rPr>
        <w:t xml:space="preserve">3. Resultados</w:t>
      </w:r>
    </w:p>
    <w:p>
      <w:pPr>
        <w:pStyle w:val="Heading2"/>
        <w:spacing w:after="80" w:before="180" w:line="360" w:lineRule="auto"/>
        <w:jc w:val="left"/>
      </w:pPr>
      <w:r>
        <w:rPr>
          <w:rFonts w:ascii="Times New Roman" w:cs="Times New Roman" w:eastAsia="Times New Roman" w:hAnsi="Times New Roman"/>
          <w:b/>
          <w:bCs/>
          <w:sz w:val="24"/>
          <w:szCs w:val="24"/>
        </w:rPr>
        <w:t xml:space="preserve">3.1 Descripción de la cohorte</w:t>
      </w:r>
    </w:p>
    <w:p>
      <w:pPr>
        <w:spacing w:after="120" w:before="0" w:line="360" w:lineRule="auto"/>
        <w:jc w:val="left"/>
      </w:pPr>
      <w:r>
        <w:rPr>
          <w:rFonts w:ascii="Times New Roman" w:cs="Times New Roman" w:eastAsia="Times New Roman" w:hAnsi="Times New Roman"/>
          <w:sz w:val="24"/>
          <w:szCs w:val="24"/>
        </w:rPr>
        <w:t xml:space="preserve">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1. Estadísticos descriptivos de índices nocturnos (560 noches).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900"/>
        <w:gridCol w:w="900"/>
        <w:gridCol w:w="1100"/>
        <w:gridCol w:w="1000"/>
      </w:tblGrid>
      <w:tr>
        <w:trPr>
          <w:tblHeader/>
        </w:trPr>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Índice</w:t>
            </w:r>
          </w:p>
        </w:tc>
        <w:tc>
          <w:tcPr>
            <w:tcW w:type="dxa" w:w="13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Media</w:t>
            </w:r>
          </w:p>
        </w:tc>
        <w:tc>
          <w:tcPr>
            <w:tcW w:type="dxa" w:w="1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CV%</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Mín</w:t>
            </w:r>
          </w:p>
        </w:tc>
        <w:tc>
          <w:tcPr>
            <w:tcW w:type="dxa" w:w="11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P50</w:t>
            </w:r>
          </w:p>
        </w:tc>
        <w:tc>
          <w:tcPr>
            <w:tcW w:type="dxa" w:w="1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Máx</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17.9</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14.1</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78.6</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14.6</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98.6</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215.3</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91.5</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mín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70.5</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8.7</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71.0</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88.0</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media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93.7</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93.9</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96.4</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FC media (lpm)</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61.3</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9.0</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48.2</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61.4</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100.8</w:t>
            </w:r>
          </w:p>
        </w:tc>
      </w:tr>
    </w:tbl>
    <w:p>
      <w:pPr>
        <w:spacing w:after="180" w:before="60" w:line="300"/>
      </w:pPr>
      <w:r>
        <w:rPr>
          <w:rFonts w:ascii="Times New Roman" w:cs="Times New Roman" w:eastAsia="Times New Roman" w:hAnsi="Times New Roman"/>
          <w:i/>
          <w:iCs/>
          <w:sz w:val="22"/>
          <w:szCs w:val="22"/>
        </w:rPr>
        <w:t xml:space="preserve">ODI: índice de desaturación; T90: fracción de tiempo SpO₂&lt;90%; DE: desviación estándar; P50: mediana.</w:t>
      </w:r>
    </w:p>
    <w:p>
      <w:pPr>
        <w:pStyle w:val="Heading2"/>
        <w:spacing w:after="80" w:before="180" w:line="360" w:lineRule="auto"/>
        <w:jc w:val="left"/>
      </w:pPr>
      <w:r>
        <w:rPr>
          <w:rFonts w:ascii="Times New Roman" w:cs="Times New Roman" w:eastAsia="Times New Roman" w:hAnsi="Times New Roman"/>
          <w:b/>
          <w:bCs/>
          <w:sz w:val="24"/>
          <w:szCs w:val="24"/>
        </w:rPr>
        <w:t xml:space="preserve">3.2 Estructura morfológica de los eventos</w:t>
      </w:r>
    </w:p>
    <w:p>
      <w:pPr>
        <w:spacing w:after="120" w:before="0" w:line="360" w:lineRule="auto"/>
        <w:jc w:val="left"/>
      </w:pPr>
      <w:r>
        <w:rPr>
          <w:rFonts w:ascii="Times New Roman" w:cs="Times New Roman" w:eastAsia="Times New Roman" w:hAnsi="Times New Roman"/>
          <w:sz w:val="24"/>
          <w:szCs w:val="24"/>
        </w:rPr>
        <w:t xml:space="preserve">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pPr>
        <w:pStyle w:val="Heading2"/>
        <w:spacing w:after="80" w:before="180" w:line="360" w:lineRule="auto"/>
        <w:jc w:val="left"/>
      </w:pPr>
      <w:r>
        <w:rPr>
          <w:rFonts w:ascii="Times New Roman" w:cs="Times New Roman" w:eastAsia="Times New Roman" w:hAnsi="Times New Roman"/>
          <w:b/>
          <w:bCs/>
          <w:sz w:val="24"/>
          <w:szCs w:val="24"/>
        </w:rPr>
        <w:t xml:space="preserve">3.3 Fenotipos morfológicos C1–C5</w:t>
      </w:r>
    </w:p>
    <w:p>
      <w:pPr>
        <w:spacing w:after="120" w:before="0" w:line="360" w:lineRule="auto"/>
        <w:jc w:val="left"/>
      </w:pPr>
      <w:r>
        <w:rPr>
          <w:rFonts w:ascii="Times New Roman" w:cs="Times New Roman" w:eastAsia="Times New Roman" w:hAnsi="Times New Roman"/>
          <w:sz w:val="24"/>
          <w:szCs w:val="24"/>
        </w:rPr>
        <w:t xml:space="preserve">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2. Características de los cinco morfotipos (85.277 eventos).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1500"/>
        <w:gridCol w:w="2200"/>
        <w:gridCol w:w="9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8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 (% total)</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Nadir ΔSpO₂</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ICC inter-noche</w:t>
            </w:r>
          </w:p>
        </w:tc>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Descripción</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Cat.</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55.175 (64.7%)</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0.601</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Basal subcrítico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21.318 (25.0%)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0.682</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Leve a moderado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3.662  (4.3%)</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-7.9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0.419</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simétrico (nadir 25%)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4.301  (5.0%)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-8.6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0.476</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tardío (nadir 75%)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821    (1.0%)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-15.3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0.505</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Severo prolongado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bl>
    <w:p>
      <w:pPr>
        <w:spacing w:after="180" w:before="60" w:line="300"/>
      </w:pPr>
      <w:r>
        <w:rPr>
          <w:rFonts w:ascii="Times New Roman" w:cs="Times New Roman" w:eastAsia="Times New Roman" w:hAnsi="Times New Roman"/>
          <w:i/>
          <w:iCs/>
          <w:sz w:val="22"/>
          <w:szCs w:val="22"/>
        </w:rPr>
        <w:t xml:space="preserve">ICC(1,1): coeficiente de correlación intraclase inter-noche; pp: puntos porcentuales.</w:t>
      </w:r>
    </w:p>
    <w:p>
      <w:pPr>
        <w:spacing w:after="120" w:before="0" w:line="360" w:lineRule="auto"/>
        <w:jc w:val="left"/>
      </w:pPr>
      <w:r>
        <w:rPr>
          <w:rFonts w:ascii="Times New Roman" w:cs="Times New Roman" w:eastAsia="Times New Roman" w:hAnsi="Times New Roman"/>
          <w:sz w:val="24"/>
          <w:szCs w:val="24"/>
        </w:rPr>
        <w:t xml:space="preserve">La distribución de eventos es marcadamente asimétrica: C1 y C2 concentran el 89.7% de los casos. C3 presenta un nadir temprano al 25% del evento (−7.9 pp); C4, una desaturación progresiva con nadir tardío al 75% (−8.6 pp); C5, una desaturación severa y prolongada (−15.3 pp). La distinción entre C3 y C4 —nadires de profundidad similar pero en posiciones temporales opuestas— es invisible para cualquier índice basado exclusivamente en amplitud o duración.</w:t>
      </w:r>
    </w:p>
    <w:p>
      <w:pPr>
        <w:pStyle w:val="Heading2"/>
        <w:spacing w:after="80" w:before="180" w:line="360" w:lineRule="auto"/>
        <w:jc w:val="left"/>
      </w:pPr>
      <w:r>
        <w:rPr>
          <w:rFonts w:ascii="Times New Roman" w:cs="Times New Roman" w:eastAsia="Times New Roman" w:hAnsi="Times New Roman"/>
          <w:b/>
          <w:bCs/>
          <w:sz w:val="24"/>
          <w:szCs w:val="24"/>
        </w:rPr>
        <w:t xml:space="preserve">3.4 ARI como dimensión fisiológica ortogonal</w:t>
      </w:r>
    </w:p>
    <w:p>
      <w:pPr>
        <w:spacing w:after="120" w:before="0" w:line="360" w:lineRule="auto"/>
        <w:jc w:val="left"/>
      </w:pPr>
      <w:r>
        <w:rPr>
          <w:rFonts w:ascii="Times New Roman" w:cs="Times New Roman" w:eastAsia="Times New Roman" w:hAnsi="Times New Roman"/>
          <w:sz w:val="24"/>
          <w:szCs w:val="24"/>
        </w:rPr>
        <w:t xml:space="preserve">El ARI no guarda relación con cuán profunda fue la caída de oxígeno: la correlación entre ambas variables es prácticamente nula (ρ=0.034).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equivalente a adivinar al azar (AUC=0.453, Figura 4). La Figura 5 ilustra visualmente esta independencia: el ARI se mantiene prácticamente constante (0.44–0.52) sin importar cuál sea el morfotipo.</w:t>
      </w:r>
    </w:p>
    <w:p>
      <w:pPr>
        <w:pStyle w:val="Heading2"/>
        <w:spacing w:after="80" w:before="180" w:line="360" w:lineRule="auto"/>
        <w:jc w:val="left"/>
      </w:pPr>
      <w:r>
        <w:rPr>
          <w:rFonts w:ascii="Times New Roman" w:cs="Times New Roman" w:eastAsia="Times New Roman" w:hAnsi="Times New Roman"/>
          <w:b/>
          <w:bCs/>
          <w:sz w:val="24"/>
          <w:szCs w:val="24"/>
        </w:rPr>
        <w:t xml:space="preserve">3.5 Perfiles fisiológicos multimodales</w:t>
      </w:r>
    </w:p>
    <w:p>
      <w:pPr>
        <w:spacing w:after="120" w:before="0" w:line="360" w:lineRule="auto"/>
        <w:jc w:val="left"/>
      </w:pPr>
      <w:r>
        <w:rPr>
          <w:rFonts w:ascii="Times New Roman" w:cs="Times New Roman" w:eastAsia="Times New Roman" w:hAnsi="Times New Roman"/>
          <w:sz w:val="24"/>
          <w:szCs w:val="24"/>
        </w:rPr>
        <w:t xml:space="preserve">La ganancia de FC (ΔHR/ΔSpO₂) fue decreciente con la severidad del cluster: C1=0.63, C2=0.53, C3=0.21, C4=0.31, C5=0.04 lpm/pp. C5 exhibe prácticamente respuesta nula (silencio autonómico) a pesar de nadires de −15.3 pp. La Tabla 3 resume los valores de ARI y ganancia de FC por morfotipo.</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3. ARI y ganancia de FC por morfotipo.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1600"/>
        <w:gridCol w:w="32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7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 ± DE</w:t>
            </w:r>
          </w:p>
        </w:tc>
        <w:tc>
          <w:tcPr>
            <w:tcW w:type="dxa" w:w="14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mediana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Ganancia FC (lpm/pp)</w:t>
            </w:r>
          </w:p>
        </w:tc>
        <w:tc>
          <w:tcPr>
            <w:tcW w:type="dxa" w:w="3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Interpretación autonómica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0.491 ± 0.205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0.633</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proporcional normal</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0.526 ± 0.185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0.528</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activa, levemente elevada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0.509 ± 0.146</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0.209</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atenuada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0.489 ± 0.143</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0.307</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reducida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0.422 ± 0.105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0.431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0.040</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Silencio autonómico</w:t>
            </w:r>
          </w:p>
        </w:tc>
      </w:tr>
    </w:tbl>
    <w:p>
      <w:pPr>
        <w:spacing w:after="180" w:before="60" w:line="300"/>
      </w:pPr>
      <w:r>
        <w:rPr>
          <w:rFonts w:ascii="Times New Roman" w:cs="Times New Roman" w:eastAsia="Times New Roman" w:hAnsi="Times New Roman"/>
          <w:i/>
          <w:iCs/>
          <w:sz w:val="22"/>
          <w:szCs w:val="22"/>
        </w:rPr>
        <w:t xml:space="preserve">ARI: Índice de Respuesta Autonómica (0–1). Ganancia FC: ΔHR/ΔSpO₂ (lpm/pp).</w:t>
      </w:r>
    </w:p>
    <w:p>
      <w:pPr>
        <w:pStyle w:val="Heading2"/>
        <w:spacing w:after="80" w:before="180" w:line="360" w:lineRule="auto"/>
        <w:jc w:val="left"/>
      </w:pPr>
      <w:r>
        <w:rPr>
          <w:rFonts w:ascii="Times New Roman" w:cs="Times New Roman" w:eastAsia="Times New Roman" w:hAnsi="Times New Roman"/>
          <w:b/>
          <w:bCs/>
          <w:sz w:val="24"/>
          <w:szCs w:val="24"/>
        </w:rPr>
        <w:t xml:space="preserve">3.6 Validación clínica del ARI: análisis intra-estrato</w:t>
      </w:r>
    </w:p>
    <w:p>
      <w:pPr>
        <w:spacing w:after="120" w:before="0" w:line="360" w:lineRule="auto"/>
        <w:jc w:val="left"/>
      </w:pPr>
      <w:r>
        <w:rPr>
          <w:rFonts w:ascii="Times New Roman" w:cs="Times New Roman" w:eastAsia="Times New Roman" w:hAnsi="Times New Roman"/>
          <w:sz w:val="24"/>
          <w:szCs w:val="24"/>
        </w:rPr>
        <w:t xml:space="preserve">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pPr>
        <w:pStyle w:val="Heading2"/>
        <w:spacing w:after="80" w:before="180" w:line="360" w:lineRule="auto"/>
        <w:jc w:val="left"/>
      </w:pPr>
      <w:r>
        <w:rPr>
          <w:rFonts w:ascii="Times New Roman" w:cs="Times New Roman" w:eastAsia="Times New Roman" w:hAnsi="Times New Roman"/>
          <w:b/>
          <w:bCs/>
          <w:sz w:val="24"/>
          <w:szCs w:val="24"/>
        </w:rPr>
        <w:t xml:space="preserve">3.7 Relación con la severidad nocturna</w:t>
      </w:r>
    </w:p>
    <w:p>
      <w:pPr>
        <w:spacing w:after="120" w:before="0" w:line="360" w:lineRule="auto"/>
        <w:jc w:val="left"/>
      </w:pPr>
      <w:r>
        <w:rPr>
          <w:rFonts w:ascii="Times New Roman" w:cs="Times New Roman" w:eastAsia="Times New Roman" w:hAnsi="Times New Roman"/>
          <w:sz w:val="24"/>
          <w:szCs w:val="24"/>
        </w:rPr>
        <w:t xml:space="preserve">A nivel nocturno, el ARI y el ODI3 muestran solo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4. Métricas morfológicas y autonómicas por estrato de severidad (medianas).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rPr>
          <w:tblHeader/>
        </w:trPr>
        <w:tc>
          <w:tcPr>
            <w:tcW w:type="dxa" w:w="2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Métrica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Leve (n=29)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Moderado (n=259)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Grave (n=218)</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Muy grave (n=54)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20.1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40.9</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12.3</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C1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83.7%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66.7%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C4+C5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1.6%</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4.4%</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9.7%</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ARI medio</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0.519</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0.486</w:t>
            </w:r>
          </w:p>
        </w:tc>
      </w:tr>
    </w:tbl>
    <w:p>
      <w:pPr>
        <w:spacing w:after="180" w:before="60" w:line="300"/>
      </w:pPr>
      <w:r>
        <w:rPr>
          <w:rFonts w:ascii="Times New Roman" w:cs="Times New Roman" w:eastAsia="Times New Roman" w:hAnsi="Times New Roman"/>
          <w:i/>
          <w:iCs/>
          <w:sz w:val="22"/>
          <w:szCs w:val="22"/>
        </w:rPr>
        <w:t xml:space="preserve">Leve: ODI3&lt;5 ev/h; Moderado: 5–15; Grave: 15–30; Muy grave: ≥30.</w:t>
      </w:r>
    </w:p>
    <w:p>
      <w:pPr>
        <w:pStyle w:val="Heading2"/>
        <w:spacing w:after="80" w:before="180" w:line="360" w:lineRule="auto"/>
        <w:jc w:val="left"/>
      </w:pPr>
      <w:r>
        <w:rPr>
          <w:rFonts w:ascii="Times New Roman" w:cs="Times New Roman" w:eastAsia="Times New Roman" w:hAnsi="Times New Roman"/>
          <w:b/>
          <w:bCs/>
          <w:sz w:val="24"/>
          <w:szCs w:val="24"/>
        </w:rPr>
        <w:t xml:space="preserve">3.8 Validación interna y estabilidad multi-noche</w:t>
      </w:r>
    </w:p>
    <w:p>
      <w:pPr>
        <w:spacing w:after="120" w:before="0" w:line="360" w:lineRule="auto"/>
        <w:jc w:val="left"/>
      </w:pPr>
      <w:r>
        <w:rPr>
          <w:rFonts w:ascii="Times New Roman" w:cs="Times New Roman" w:eastAsia="Times New Roman" w:hAnsi="Times New Roman"/>
          <w:sz w:val="24"/>
          <w:szCs w:val="24"/>
        </w:rPr>
        <w:t xml:space="preserve">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pPr>
        <w:spacing w:after="120" w:before="0" w:line="360" w:lineRule="auto"/>
        <w:jc w:val="left"/>
      </w:pPr>
      <w:r>
        <w:rPr>
          <w:rFonts w:ascii="Times New Roman" w:cs="Times New Roman" w:eastAsia="Times New Roman" w:hAnsi="Times New Roman"/>
          <w:sz w:val="24"/>
          <w:szCs w:val="24"/>
        </w:rPr>
        <w:t xml:space="preserve">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es suficiente para conocer el ARI del paciente de forma confiable, sin necesidad de estudios repetidos ni de laboratorio de sueño.</w:t>
      </w:r>
    </w:p>
    <w:p>
      <w:pPr>
        <w:pStyle w:val="Heading1"/>
        <w:spacing w:after="120" w:before="240" w:line="360" w:lineRule="auto"/>
        <w:jc w:val="left"/>
      </w:pPr>
      <w:r>
        <w:rPr>
          <w:rFonts w:ascii="Times New Roman" w:cs="Times New Roman" w:eastAsia="Times New Roman" w:hAnsi="Times New Roman"/>
          <w:b/>
          <w:bCs/>
          <w:sz w:val="24"/>
          <w:szCs w:val="24"/>
        </w:rPr>
        <w:t xml:space="preserve">4. Discusión</w:t>
      </w:r>
    </w:p>
    <w:p>
      <w:pPr>
        <w:spacing w:after="120" w:before="0" w:line="360" w:lineRule="auto"/>
        <w:jc w:val="left"/>
      </w:pPr>
      <w:r>
        <w:rPr>
          <w:rFonts w:ascii="Times New Roman" w:cs="Times New Roman" w:eastAsia="Times New Roman" w:hAnsi="Times New Roman"/>
          <w:sz w:val="24"/>
          <w:szCs w:val="24"/>
        </w:rPr>
        <w:t xml:space="preserve">Los resultados demuestran que los EDOs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pPr>
        <w:spacing w:after="120" w:before="0" w:line="360" w:lineRule="auto"/>
        <w:jc w:val="left"/>
      </w:pPr>
      <w:r>
        <w:rPr>
          <w:rFonts w:ascii="Times New Roman" w:cs="Times New Roman" w:eastAsia="Times New Roman" w:hAnsi="Times New Roman"/>
          <w:sz w:val="24"/>
          <w:szCs w:val="24"/>
        </w:rPr>
        <w:t xml:space="preserve">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pPr>
        <w:spacing w:after="120" w:before="0" w:line="360" w:lineRule="auto"/>
        <w:jc w:val="left"/>
      </w:pPr>
      <w:r>
        <w:rPr>
          <w:rFonts w:ascii="Times New Roman" w:cs="Times New Roman" w:eastAsia="Times New Roman" w:hAnsi="Times New Roman"/>
          <w:sz w:val="24"/>
          <w:szCs w:val="24"/>
        </w:rPr>
        <w:t xml:space="preserve">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pPr>
        <w:spacing w:after="120" w:before="0" w:line="360" w:lineRule="auto"/>
        <w:jc w:val="left"/>
      </w:pPr>
      <w:r>
        <w:rPr>
          <w:rFonts w:ascii="Times New Roman" w:cs="Times New Roman" w:eastAsia="Times New Roman" w:hAnsi="Times New Roman"/>
          <w:sz w:val="24"/>
          <w:szCs w:val="24"/>
        </w:rPr>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pPr>
        <w:pStyle w:val="Heading1"/>
        <w:spacing w:after="120" w:before="240" w:line="360" w:lineRule="auto"/>
        <w:jc w:val="left"/>
      </w:pPr>
      <w:r>
        <w:rPr>
          <w:rFonts w:ascii="Times New Roman" w:cs="Times New Roman" w:eastAsia="Times New Roman" w:hAnsi="Times New Roman"/>
          <w:b/>
          <w:bCs/>
          <w:sz w:val="24"/>
          <w:szCs w:val="24"/>
        </w:rPr>
        <w:t xml:space="preserve">5. Conclusiones</w:t>
      </w:r>
    </w:p>
    <w:p>
      <w:pPr>
        <w:spacing w:after="120" w:before="0" w:line="360" w:lineRule="auto"/>
        <w:jc w:val="left"/>
      </w:pPr>
      <w:r>
        <w:rPr>
          <w:rFonts w:ascii="Times New Roman" w:cs="Times New Roman" w:eastAsia="Times New Roman" w:hAnsi="Times New Roman"/>
          <w:sz w:val="24"/>
          <w:szCs w:val="24"/>
        </w:rPr>
        <w:t xml:space="preserve">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pPr>
        <w:spacing w:after="120" w:before="0" w:line="360" w:lineRule="auto"/>
        <w:jc w:val="left"/>
      </w:pPr>
      <w:r>
        <w:rPr>
          <w:rFonts w:ascii="Times New Roman" w:cs="Times New Roman" w:eastAsia="Times New Roman" w:hAnsi="Times New Roman"/>
          <w:sz w:val="24"/>
          <w:szCs w:val="24"/>
        </w:rPr>
        <w:t xml:space="preserve">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pPr>
        <w:spacing w:after="120" w:before="0" w:line="360" w:lineRule="auto"/>
        <w:jc w:val="left"/>
      </w:pPr>
      <w:r>
        <w:rPr>
          <w:rFonts w:ascii="Times New Roman" w:cs="Times New Roman" w:eastAsia="Times New Roman" w:hAnsi="Times New Roman"/>
          <w:sz w:val="24"/>
          <w:szCs w:val="24"/>
        </w:rPr>
        <w:t xml:space="preserve">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pPr>
        <w:spacing w:after="60" w:before="120" w:line="360" w:lineRule="auto"/>
        <w:jc w:val="left"/>
      </w:pPr>
      <w:r>
        <w:rPr>
          <w:rFonts w:ascii="Times New Roman" w:cs="Times New Roman" w:eastAsia="Times New Roman" w:hAnsi="Times New Roman"/>
          <w:b/>
          <w:bCs/>
          <w:sz w:val="24"/>
          <w:szCs w:val="24"/>
        </w:rPr>
        <w:t xml:space="preserve">Implicancias para la práctica clínica</w:t>
      </w:r>
    </w:p>
    <w:p>
      <w:pPr>
        <w:spacing w:after="120" w:before="0" w:line="360" w:lineRule="auto"/>
        <w:jc w:val="left"/>
      </w:pPr>
      <w:r>
        <w:rPr>
          <w:rFonts w:ascii="Times New Roman" w:cs="Times New Roman" w:eastAsia="Times New Roman" w:hAnsi="Times New Roman"/>
          <w:sz w:val="24"/>
          <w:szCs w:val="24"/>
        </w:rPr>
        <w:t xml:space="preserve">Los hallazgos de este trabajo pueden resumirse en tres mensajes concretos para el clínico:</w:t>
      </w:r>
    </w:p>
    <w:p>
      <w:pPr>
        <w:spacing w:after="120" w:before="0" w:line="360" w:lineRule="auto"/>
        <w:jc w:val="left"/>
      </w:pPr>
      <w:r>
        <w:rPr>
          <w:rFonts w:ascii="Times New Roman" w:cs="Times New Roman" w:eastAsia="Times New Roman" w:hAnsi="Times New Roman"/>
          <w:b/>
          <w:bCs/>
          <w:sz w:val="24"/>
          <w:szCs w:val="24"/>
        </w:rPr>
        <w:t xml:space="preserve">Primero: </w:t>
      </w:r>
      <w:r>
        <w:rPr>
          <w:rFonts w:ascii="Times New Roman" w:cs="Times New Roman" w:eastAsia="Times New Roman" w:hAnsi="Times New Roman"/>
          <w:sz w:val="24"/>
          <w:szCs w:val="24"/>
        </w:rPr>
        <w:t xml:space="preserve">el ODI y el AHI no cuentan toda la historia. Dos pacientes con igual índice de desaturación pueden tener perfiles fisiológicos radicalmente distintos: uno con eventos breves y respuesta cardiovascular activa, otro con desaturaciones prolongadas y silencio autonómico. Tratarlos como equivalentes puede ser un error clínico.</w:t>
      </w:r>
    </w:p>
    <w:p>
      <w:pPr>
        <w:spacing w:after="120" w:before="0" w:line="360" w:lineRule="auto"/>
        <w:jc w:val="left"/>
      </w:pPr>
      <w:r>
        <w:rPr>
          <w:rFonts w:ascii="Times New Roman" w:cs="Times New Roman" w:eastAsia="Times New Roman" w:hAnsi="Times New Roman"/>
          <w:b/>
          <w:bCs/>
          <w:sz w:val="24"/>
          <w:szCs w:val="24"/>
        </w:rPr>
        <w:t xml:space="preserve">Segundo: </w:t>
      </w:r>
      <w:r>
        <w:rPr>
          <w:rFonts w:ascii="Times New Roman" w:cs="Times New Roman" w:eastAsia="Times New Roman" w:hAnsi="Times New Roman"/>
          <w:sz w:val="24"/>
          <w:szCs w:val="24"/>
        </w:rPr>
        <w:t xml:space="preserve">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pPr>
        <w:spacing w:after="120" w:before="0" w:line="360" w:lineRule="auto"/>
        <w:jc w:val="left"/>
      </w:pPr>
      <w:r>
        <w:rPr>
          <w:rFonts w:ascii="Times New Roman" w:cs="Times New Roman" w:eastAsia="Times New Roman" w:hAnsi="Times New Roman"/>
          <w:b/>
          <w:bCs/>
          <w:sz w:val="24"/>
          <w:szCs w:val="24"/>
        </w:rPr>
        <w:t xml:space="preserve">Tercero: </w:t>
      </w:r>
      <w:r>
        <w:rPr>
          <w:rFonts w:ascii="Times New Roman" w:cs="Times New Roman" w:eastAsia="Times New Roman" w:hAnsi="Times New Roman"/>
          <w:sz w:val="24"/>
          <w:szCs w:val="24"/>
        </w:rPr>
        <w:t xml:space="preserve">en esta cohorte, una sola noche de monitoreo domiciliario con el SOMNI 6000 fue suficiente para estimar ambas métricas de forma confiable, sin necesidad de laboratorio de sueño.</w:t>
      </w:r>
    </w:p>
    <w:p>
      <w:pPr>
        <w:spacing w:after="120" w:before="0" w:line="360" w:lineRule="auto"/>
        <w:jc w:val="left"/>
      </w:pPr>
      <w:r>
        <w:rPr>
          <w:rFonts w:ascii="Times New Roman" w:cs="Times New Roman" w:eastAsia="Times New Roman" w:hAnsi="Times New Roman"/>
          <w:sz w:val="24"/>
          <w:szCs w:val="24"/>
        </w:rPr>
        <w:t xml:space="preserve">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p>
    <w:p>
      <w:pPr>
        <w:spacing w:after="120" w:before="0" w:line="360" w:lineRule="auto"/>
        <w:jc w:val="left"/>
      </w:pPr>
      <w:r>
        <w:rPr>
          <w:rFonts w:ascii="Times New Roman" w:cs="Times New Roman" w:eastAsia="Times New Roman" w:hAnsi="Times New Roman"/>
          <w:sz w:val="24"/>
          <w:szCs w:val="24"/>
        </w:rPr>
        <w:t xml:space="preserve">El paso siguiente es determinar si estas diferencias fisiológicas se traducen en distintos desenlaces clínicos a largo plazo. Esa pregunta, y su respuesta, justifica los estudios prospectivos que este trabajo pretende motivar.</w:t>
      </w:r>
    </w:p>
    <w:p>
      <w:pPr>
        <w:pStyle w:val="Heading1"/>
        <w:spacing w:after="120" w:before="240" w:line="360" w:lineRule="auto"/>
        <w:jc w:val="left"/>
      </w:pPr>
      <w:r>
        <w:rPr>
          <w:rFonts w:ascii="Times New Roman" w:cs="Times New Roman" w:eastAsia="Times New Roman" w:hAnsi="Times New Roman"/>
          <w:b/>
          <w:bCs/>
          <w:sz w:val="24"/>
          <w:szCs w:val="24"/>
        </w:rPr>
        <w:t xml:space="preserve">Declaraciones</w:t>
      </w:r>
    </w:p>
    <w:p>
      <w:pPr>
        <w:spacing w:after="120" w:before="0" w:line="360" w:lineRule="auto"/>
        <w:jc w:val="left"/>
      </w:pPr>
      <w:r>
        <w:rPr>
          <w:rFonts w:ascii="Times New Roman" w:cs="Times New Roman" w:eastAsia="Times New Roman" w:hAnsi="Times New Roman"/>
          <w:b/>
          <w:bCs/>
          <w:sz w:val="24"/>
          <w:szCs w:val="24"/>
        </w:rPr>
        <w:t xml:space="preserve">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pStyle w:val="Heading1"/>
        <w:spacing w:after="120" w:before="240" w:line="360" w:lineRule="auto"/>
        <w:jc w:val="left"/>
      </w:pPr>
      <w:r>
        <w:rPr>
          <w:rFonts w:ascii="Times New Roman" w:cs="Times New Roman" w:eastAsia="Times New Roman" w:hAnsi="Times New Roman"/>
          <w:b/>
          <w:bCs/>
          <w:sz w:val="24"/>
          <w:szCs w:val="24"/>
        </w:rPr>
        <w:t xml:space="preserve">Leyendas de Figuras</w:t>
      </w:r>
    </w:p>
    <w:p>
      <w:pPr>
        <w:spacing w:after="120" w:before="0" w:line="360" w:lineRule="auto"/>
      </w:pPr>
      <w:r>
        <w:rPr>
          <w:rFonts w:ascii="Times New Roman" w:cs="Times New Roman" w:eastAsia="Times New Roman" w:hAnsi="Times New Roman"/>
          <w:i/>
          <w:iCs/>
          <w:sz w:val="24"/>
          <w:szCs w:val="24"/>
        </w:rPr>
        <w:t xml:space="preserve">[Las figuras se adjuntan como archivos separados en formato JPEG/PNG a 300 dpi, nombrados según la página y párrafo del manuscrito donde se ubican.]</w:t>
      </w:r>
    </w:p>
    <w:p>
      <w:pPr>
        <w:spacing w:after="120" w:before="0" w:line="360" w:lineRule="auto"/>
        <w:jc w:val="left"/>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sz w:val="24"/>
          <w:szCs w:val="24"/>
        </w:rPr>
        <w:t xml:space="preserve">Análisis de componentes principales (PCA) sobre las curvas de SpO₂ normalizadas (85.277 EDOs). Scree plot, perfiles de carga de CP1–CP3 y proyección de eventos en el espacio PCA coloreados por morfotipo; los tres componentes explican el 83.9% de la varianza total.</w:t>
      </w:r>
    </w:p>
    <w:p>
      <w:pPr>
        <w:spacing w:after="120" w:before="0" w:line="360" w:lineRule="auto"/>
        <w:jc w:val="left"/>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sz w:val="24"/>
          <w:szCs w:val="24"/>
        </w:rPr>
        <w:t xml:space="preserve">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pPr>
        <w:spacing w:after="120" w:before="0" w:line="360" w:lineRule="auto"/>
        <w:jc w:val="left"/>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sz w:val="24"/>
          <w:szCs w:val="24"/>
        </w:rPr>
        <w:t xml:space="preserve">Perfiles de frecuencia cardíaca (A) y movimiento (B) durante los EDOs por morfotipo (mediana ± IQR). C4 exhibe la mayor respuesta de FC (+3.4 lpm) con movimiento moderado; C3 y C5 muestran movimiento elevado con respuesta cardíaca modesta, evidenciando la disociación FC/MOV.</w:t>
      </w:r>
    </w:p>
    <w:p>
      <w:pPr>
        <w:spacing w:after="120" w:before="0" w:line="360" w:lineRule="auto"/>
        <w:jc w:val="left"/>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sz w:val="24"/>
          <w:szCs w:val="24"/>
        </w:rPr>
        <w:t xml:space="preserve">Curva ROC del ARI para discriminar eventos de morfotipo severo (C4+C5) vs. no severo (C1–C3). AUC=0.453, no superior al azar, confirmando que el ARI no predice la severidad morfológica del evento.</w:t>
      </w:r>
    </w:p>
    <w:p>
      <w:pPr>
        <w:spacing w:after="120" w:before="0" w:line="360" w:lineRule="auto"/>
        <w:jc w:val="left"/>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sz w:val="24"/>
          <w:szCs w:val="24"/>
        </w:rPr>
        <w:t xml:space="preserve">ARI como dimensión ortogonal. A: mediana del ARI por cluster morfológico (IC 95% bootstrap); rango 0.44–0.52 sin tendencia monótona. B: distribución del ARI vs. severidad morfológica (hexbin, n=84.248); la uniformidad confirma ρ=0.034.</w:t>
      </w:r>
    </w:p>
    <w:p>
      <w:pPr>
        <w:spacing w:after="120" w:before="0" w:line="360" w:lineRule="auto"/>
        <w:jc w:val="left"/>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sz w:val="24"/>
          <w:szCs w:val="24"/>
        </w:rPr>
        <w:t xml:space="preserve">Análisis intra-estrato: variables clínicas por subgrupo de ARI (alto vs. bajo) dentro de cada estrato ODI3. (a) Ganancia de FC (lpm/pp). (b) Fracción de eventos C4+C5. (c) T90. El ODI3 no difiere entre subgrupos en ningún estrato (ns).</w:t>
      </w:r>
    </w:p>
    <w:p>
      <w:pPr>
        <w:spacing w:after="120" w:before="0" w:line="360" w:lineRule="auto"/>
        <w:jc w:val="left"/>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sz w:val="24"/>
          <w:szCs w:val="24"/>
        </w:rPr>
        <w:t xml:space="preserve">Estabilización multi-noche del ODI3. A: MAE vs. número de noches (bootstrap, 300 iteraciones); umbral de 2 ev/h alcanzado a partir de la 5ª noche. B: ICC(1,1) vs. N noches, de 0.70 (1 noche) a 0.99 (14 noches).</w:t>
      </w:r>
    </w:p>
    <w:p>
      <w:pPr>
        <w:spacing w:after="120" w:before="0" w:line="360" w:lineRule="auto"/>
        <w:jc w:val="left"/>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sz w:val="24"/>
          <w:szCs w:val="24"/>
        </w:rPr>
        <w:t xml:space="preserve">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pPr>
        <w:pStyle w:val="Heading1"/>
        <w:spacing w:after="120" w:before="240" w:line="360" w:lineRule="auto"/>
        <w:jc w:val="left"/>
      </w:pPr>
      <w:r>
        <w:rPr>
          <w:rFonts w:ascii="Times New Roman" w:cs="Times New Roman" w:eastAsia="Times New Roman" w:hAnsi="Times New Roman"/>
          <w:b/>
          <w:bCs/>
          <w:sz w:val="24"/>
          <w:szCs w:val="24"/>
        </w:rPr>
        <w:t xml:space="preserve">Referencias</w:t>
      </w:r>
    </w:p>
    <w:p>
      <w:pPr>
        <w:spacing w:after="120" w:before="0" w:line="360" w:lineRule="auto"/>
        <w:jc w:val="left"/>
      </w:pPr>
      <w:r>
        <w:rPr>
          <w:rFonts w:ascii="Times New Roman" w:cs="Times New Roman" w:eastAsia="Times New Roman" w:hAnsi="Times New Roman"/>
          <w:sz w:val="24"/>
          <w:szCs w:val="24"/>
        </w:rPr>
        <w:t xml:space="preserve">1. Young T, Palta M, Dempsey J, Skatrud J, Weber S, Badr S. The occurrence of sleep-disordered breathing among middle-aged adults. N Engl J Med. 1993;328(17):1230–1235. https://doi.org/10.1056/NEJM199304293281704</w:t>
      </w:r>
    </w:p>
    <w:p>
      <w:pPr>
        <w:spacing w:after="120" w:before="0" w:line="360" w:lineRule="auto"/>
        <w:jc w:val="left"/>
      </w:pPr>
      <w:r>
        <w:rPr>
          <w:rFonts w:ascii="Times New Roman" w:cs="Times New Roman" w:eastAsia="Times New Roman" w:hAnsi="Times New Roman"/>
          <w:sz w:val="24"/>
          <w:szCs w:val="24"/>
        </w:rPr>
        <w:t xml:space="preserve">2. Peppard PE, Young T, Barnet JH, Palta M, Hagen EW, Hla KM. Increased prevalence of sleep-disordered breathing in adults. Am J Epidemiol. 2013;177(9):1006–1014. https://doi.org/10.1093/aje/kws342</w:t>
      </w:r>
    </w:p>
    <w:p>
      <w:pPr>
        <w:spacing w:after="120" w:before="0" w:line="360" w:lineRule="auto"/>
        <w:jc w:val="left"/>
      </w:pPr>
      <w:r>
        <w:rPr>
          <w:rFonts w:ascii="Times New Roman" w:cs="Times New Roman" w:eastAsia="Times New Roman" w:hAnsi="Times New Roman"/>
          <w:sz w:val="24"/>
          <w:szCs w:val="24"/>
        </w:rPr>
        <w:t xml:space="preserve">3. Punjabi NM, Caffo BS, Goodwin JL, et al. Sleep-disordered breathing and mortality: a prospective cohort study. PLoS Med. 2009;6(8):e1000132. https://doi.org/10.1371/journal.pmed.1000132</w:t>
      </w:r>
    </w:p>
    <w:p>
      <w:pPr>
        <w:spacing w:after="120" w:before="0" w:line="360" w:lineRule="auto"/>
        <w:jc w:val="left"/>
      </w:pPr>
      <w:r>
        <w:rPr>
          <w:rFonts w:ascii="Times New Roman" w:cs="Times New Roman" w:eastAsia="Times New Roman" w:hAnsi="Times New Roman"/>
          <w:sz w:val="24"/>
          <w:szCs w:val="24"/>
        </w:rPr>
        <w:t xml:space="preserve">4. Berry RB, Brooks R, Gamaldo CE, et al. AASM Manual for the Scoring of Sleep and Associated Events. Version 2.6. Darien, IL: American Academy of Sleep Medicine; 2020.</w:t>
      </w:r>
    </w:p>
    <w:p>
      <w:pPr>
        <w:spacing w:after="120" w:before="0" w:line="360" w:lineRule="auto"/>
        <w:jc w:val="left"/>
      </w:pPr>
      <w:r>
        <w:rPr>
          <w:rFonts w:ascii="Times New Roman" w:cs="Times New Roman" w:eastAsia="Times New Roman" w:hAnsi="Times New Roman"/>
          <w:sz w:val="24"/>
          <w:szCs w:val="24"/>
        </w:rPr>
        <w:t xml:space="preserve">5. Azarbarzin A, Sands SA, Stone KL, et al. The hypoxic burden of sleep apnoea predicts cardiovascular disease-related mortality: the Osteoporotic Fractures in Men Study and the Sleep Heart Health Study. Eur Heart J. 2019;40(14):1149–1157. https://doi.org/10.1093/eurheartj/ehy624</w:t>
      </w:r>
    </w:p>
    <w:p>
      <w:pPr>
        <w:spacing w:after="120" w:before="0" w:line="360" w:lineRule="auto"/>
        <w:jc w:val="left"/>
      </w:pPr>
      <w:r>
        <w:rPr>
          <w:rFonts w:ascii="Times New Roman" w:cs="Times New Roman" w:eastAsia="Times New Roman" w:hAnsi="Times New Roman"/>
          <w:sz w:val="24"/>
          <w:szCs w:val="24"/>
        </w:rPr>
        <w:t xml:space="preserve">6. Marin JM, Carrizo SJ, Vicente E, Agusti AG. Long-term cardiovascular outcomes in men with obstructive sleep apnoea-hypopnoea with or without treatment with CPAP. Lancet. 2005;365(9464):1046–1053. https://doi.org/10.1016/S0140-6736(05)71141-7</w:t>
      </w:r>
    </w:p>
    <w:p>
      <w:pPr>
        <w:spacing w:after="120" w:before="0" w:line="360" w:lineRule="auto"/>
        <w:jc w:val="left"/>
      </w:pPr>
      <w:r>
        <w:rPr>
          <w:rFonts w:ascii="Times New Roman" w:cs="Times New Roman" w:eastAsia="Times New Roman" w:hAnsi="Times New Roman"/>
          <w:sz w:val="24"/>
          <w:szCs w:val="24"/>
        </w:rPr>
        <w:t xml:space="preserve">7. Collop NA, Anderson WM, Boehlecke B, et al. Clinical guidelines for the use of unattended portable monitors in the diagnosis of obstructive sleep apnea in adult patients. J Clin Sleep Med. 2007;3(7):737–747. https://doi.org/10.5664/jcsm.26925</w:t>
      </w:r>
    </w:p>
    <w:p>
      <w:pPr>
        <w:spacing w:after="120" w:before="0" w:line="360" w:lineRule="auto"/>
        <w:jc w:val="left"/>
      </w:pPr>
      <w:r>
        <w:rPr>
          <w:rFonts w:ascii="Times New Roman" w:cs="Times New Roman" w:eastAsia="Times New Roman" w:hAnsi="Times New Roman"/>
          <w:sz w:val="24"/>
          <w:szCs w:val="24"/>
        </w:rPr>
        <w:t xml:space="preserve">8. Bittencourt LR, Suchecki D, Tufik S, et al. The variability of the apnoea-hypopnoea index. J Sleep Res. 2001;10(3):245–251. https://doi.org/10.1046/j.1365-2869.2001.00255.x</w:t>
      </w:r>
    </w:p>
    <w:p>
      <w:pPr>
        <w:spacing w:after="120" w:before="0" w:line="360" w:lineRule="auto"/>
        <w:jc w:val="left"/>
      </w:pPr>
      <w:r>
        <w:rPr>
          <w:rFonts w:ascii="Times New Roman" w:cs="Times New Roman" w:eastAsia="Times New Roman" w:hAnsi="Times New Roman"/>
          <w:sz w:val="24"/>
          <w:szCs w:val="24"/>
        </w:rPr>
        <w:t xml:space="preserve">9. Levendowski DJ, Zack N, Rao S, et al. Assessment of the test-retest reliability of laboratory polysomnography. Sleep Breath. 2009;13(2):163–167. https://doi.org/10.1007/s11325-008-0214-6</w:t>
      </w:r>
    </w:p>
    <w:p>
      <w:pPr>
        <w:spacing w:after="120" w:before="0" w:line="360" w:lineRule="auto"/>
        <w:jc w:val="left"/>
      </w:pPr>
      <w:r>
        <w:rPr>
          <w:rFonts w:ascii="Times New Roman" w:cs="Times New Roman" w:eastAsia="Times New Roman" w:hAnsi="Times New Roman"/>
          <w:sz w:val="24"/>
          <w:szCs w:val="24"/>
        </w:rPr>
        <w:t xml:space="preserve">10. Eckert DJ, White DP, Jordan AS, Malhotra A, Wellman A. Defining phenotypic causes of obstructive sleep apnea: identification of novel therapeutic targets. Am J Respir Crit Care Med. 2013;188(8):996–1004. https://doi.org/10.1164/rccm.201303-0448OC</w:t>
      </w:r>
    </w:p>
    <w:p>
      <w:pPr>
        <w:spacing w:after="120" w:before="0" w:line="360" w:lineRule="auto"/>
        <w:jc w:val="left"/>
      </w:pPr>
      <w:r>
        <w:rPr>
          <w:rFonts w:ascii="Times New Roman" w:cs="Times New Roman" w:eastAsia="Times New Roman" w:hAnsi="Times New Roman"/>
          <w:sz w:val="24"/>
          <w:szCs w:val="24"/>
        </w:rPr>
        <w:t xml:space="preserve">11. Ye L, Pien GW, Ratcliffe SJ, et al. The different clinical faces of obstructive sleep apnoea: a cluster analysis. Eur Respir J. 2014;44(6):1600–1607. https://doi.org/10.1183/09031936.00032314</w:t>
      </w:r>
    </w:p>
    <w:p>
      <w:pPr>
        <w:spacing w:after="120" w:before="0" w:line="360" w:lineRule="auto"/>
        <w:jc w:val="left"/>
      </w:pPr>
      <w:r>
        <w:rPr>
          <w:rFonts w:ascii="Times New Roman" w:cs="Times New Roman" w:eastAsia="Times New Roman" w:hAnsi="Times New Roman"/>
          <w:sz w:val="24"/>
          <w:szCs w:val="24"/>
        </w:rPr>
        <w:t xml:space="preserve">12. Shrout PE, Fleiss JL. Intraclass correlations: uses in assessing rater reliability. Psychol Bull. 1979;86(2):420–428. https://doi.org/10.1037/0033-2909.86.2.420</w:t>
      </w:r>
    </w:p>
    <w:p>
      <w:pPr>
        <w:spacing w:after="120" w:before="0" w:line="360" w:lineRule="auto"/>
        <w:jc w:val="left"/>
      </w:pPr>
      <w:r>
        <w:rPr>
          <w:rFonts w:ascii="Times New Roman" w:cs="Times New Roman" w:eastAsia="Times New Roman" w:hAnsi="Times New Roman"/>
          <w:sz w:val="24"/>
          <w:szCs w:val="24"/>
        </w:rPr>
        <w:t xml:space="preserve">13. Bland JM, Altman DG. Statistical methods for assessing agreement between two methods of clinical measurement. Lancet. 1986;1(8476):307–310. https://doi.org/10.1016/S0140-6736(86)90837-8</w:t>
      </w:r>
    </w:p>
    <w:p>
      <w:pPr>
        <w:spacing w:after="120" w:before="0" w:line="360" w:lineRule="auto"/>
        <w:jc w:val="left"/>
      </w:pPr>
      <w:r>
        <w:rPr>
          <w:rFonts w:ascii="Times New Roman" w:cs="Times New Roman" w:eastAsia="Times New Roman" w:hAnsi="Times New Roman"/>
          <w:sz w:val="24"/>
          <w:szCs w:val="24"/>
        </w:rPr>
        <w:t xml:space="preserve">14. Somers VK, Dyken ME, Mark AL, Abboud FM. Sympathetic-nerve activity during sleep in normal subjects. N Engl J Med. 1993;328(5):303–307. https://doi.org/10.1056/NEJM199302043280502</w:t>
      </w:r>
    </w:p>
    <w:p>
      <w:pPr>
        <w:spacing w:after="120" w:before="0" w:line="360" w:lineRule="auto"/>
        <w:jc w:val="left"/>
      </w:pPr>
      <w:r>
        <w:rPr>
          <w:rFonts w:ascii="Times New Roman" w:cs="Times New Roman" w:eastAsia="Times New Roman" w:hAnsi="Times New Roman"/>
          <w:sz w:val="24"/>
          <w:szCs w:val="24"/>
        </w:rPr>
        <w:t xml:space="preserve">15. Dempsey JA, Veasey SC, Morgan BJ, O’Donnell CP. Pathophysiology of sleep apnea. Physiol Rev. 2010;90(1):47–112. https://doi.org/10.1152/physrev.00043.2008</w:t>
      </w:r>
    </w:p>
    <w:p>
      <w:pPr>
        <w:spacing w:after="120" w:before="0" w:line="360" w:lineRule="auto"/>
        <w:jc w:val="left"/>
      </w:pPr>
      <w:r>
        <w:rPr>
          <w:rFonts w:ascii="Times New Roman" w:cs="Times New Roman" w:eastAsia="Times New Roman" w:hAnsi="Times New Roman"/>
          <w:sz w:val="24"/>
          <w:szCs w:val="24"/>
        </w:rPr>
        <w:t xml:space="preserve">16. Shamsuzzaman AS, Gersh BJ, Somers VK. Obstructive sleep apnea: implications for cardiac and vascular disease. JAMA. 2003;290(14):1906–1914. https://doi.org/10.1001/jama.290.14.1906</w:t>
      </w:r>
    </w:p>
    <w:p>
      <w:pPr>
        <w:spacing w:after="120" w:before="0" w:line="360" w:lineRule="auto"/>
        <w:jc w:val="left"/>
      </w:pPr>
      <w:r>
        <w:rPr>
          <w:rFonts w:ascii="Times New Roman" w:cs="Times New Roman" w:eastAsia="Times New Roman" w:hAnsi="Times New Roman"/>
          <w:sz w:val="24"/>
          <w:szCs w:val="24"/>
        </w:rPr>
        <w:t xml:space="preserve">17. Narkiewicz K, Somers VK. Sympathetic nerve activity in obstructive sleep apnoea. Acta Physiol Scand. 2003;177(3):385–390. https://doi.org/10.1046/j.1365-201X.2003.01091.x</w:t>
      </w:r>
    </w:p>
    <w:p>
      <w:pPr>
        <w:spacing w:after="120" w:before="0" w:line="360" w:lineRule="auto"/>
        <w:jc w:val="left"/>
      </w:pPr>
      <w:r>
        <w:rPr>
          <w:rFonts w:ascii="Times New Roman" w:cs="Times New Roman" w:eastAsia="Times New Roman" w:hAnsi="Times New Roman"/>
          <w:sz w:val="24"/>
          <w:szCs w:val="24"/>
        </w:rPr>
        <w:t xml:space="preserve">18. Zinchuk AV, Yaggi HK. Phenotypic subtypes of OSA: a challenge and opportunity for precision medicine. Chest. 2020;157(2):403–420. https://doi.org/10.1016/j.chest.2019.09.002</w:t>
      </w:r>
    </w:p>
    <w:p>
      <w:pPr>
        <w:spacing w:after="120" w:before="0" w:line="360" w:lineRule="auto"/>
        <w:jc w:val="left"/>
      </w:pPr>
      <w:r>
        <w:rPr>
          <w:rFonts w:ascii="Times New Roman" w:cs="Times New Roman" w:eastAsia="Times New Roman" w:hAnsi="Times New Roman"/>
          <w:sz w:val="24"/>
          <w:szCs w:val="24"/>
        </w:rPr>
        <w:t xml:space="preserve">19. Kohler M, Stradling JR. Mechanisms of vascular damage in obstructive sleep apnea. Nat Rev Cardiol. 2010;7(12):677–685. https://doi.org/10.1038/nrcardio.2010.145</w:t>
      </w:r>
    </w:p>
    <w:p>
      <w:pPr>
        <w:spacing w:after="120" w:before="0" w:line="360" w:lineRule="auto"/>
        <w:jc w:val="left"/>
      </w:pPr>
      <w:r>
        <w:rPr>
          <w:rFonts w:ascii="Times New Roman" w:cs="Times New Roman" w:eastAsia="Times New Roman" w:hAnsi="Times New Roman"/>
          <w:sz w:val="24"/>
          <w:szCs w:val="24"/>
        </w:rPr>
        <w:t xml:space="preserve">20. Narkiewicz K, Somers VK, Montano N, et al. Contribution of tonic chemoreflex activation to sympathetic activity and blood pressure in patients with obstructive sleep apnea. Circulation. 1998;97(10):943–945. https://doi.org/10.1161/01.cir.97.10.943</w:t>
      </w:r>
    </w:p>
    <w:p>
      <w:pPr>
        <w:spacing w:after="120" w:before="0" w:line="360" w:lineRule="auto"/>
        <w:jc w:val="left"/>
      </w:pPr>
      <w:r>
        <w:rPr>
          <w:rFonts w:ascii="Times New Roman" w:cs="Times New Roman" w:eastAsia="Times New Roman" w:hAnsi="Times New Roman"/>
          <w:sz w:val="24"/>
          <w:szCs w:val="24"/>
        </w:rPr>
        <w:t xml:space="preserve">21. Bailly S, Destors M, Grillet Y, et al. Obstructive sleep apnea: a cluster analysis at time of diagnosis. PLoS One. 2016;11(6):e0157318. https://doi.org/10.1371/journal.pone.0157318</w:t>
      </w:r>
    </w:p>
    <w:p>
      <w:pPr>
        <w:spacing w:after="120" w:before="0" w:line="360" w:lineRule="auto"/>
        <w:jc w:val="left"/>
      </w:pPr>
      <w:r>
        <w:rPr>
          <w:rFonts w:ascii="Times New Roman" w:cs="Times New Roman" w:eastAsia="Times New Roman" w:hAnsi="Times New Roman"/>
          <w:sz w:val="24"/>
          <w:szCs w:val="24"/>
        </w:rPr>
        <w:t xml:space="preserve">22. Gabryelska A, Szmyd B, Szemraj J, Stawski R, Sochal M, Białasiewicz P. Patients with obstructive sleep apnea present with chronic upregulation of serum HIF-1α protein. J Clin Sleep Med. 2020;16(10):1761–1768. https://doi.org/10.5664/jcsm.8682</w:t>
      </w:r>
    </w:p>
    <w:p>
      <w:pPr>
        <w:spacing w:after="120" w:before="0" w:line="360" w:lineRule="auto"/>
        <w:jc w:val="left"/>
      </w:pPr>
      <w:r>
        <w:rPr>
          <w:rFonts w:ascii="Times New Roman" w:cs="Times New Roman" w:eastAsia="Times New Roman" w:hAnsi="Times New Roman"/>
          <w:sz w:val="24"/>
          <w:szCs w:val="24"/>
        </w:rPr>
        <w:t xml:space="preserve">23. Kapur VK, Auckley DH, Chowdhuri S, et al. Clinical practice guideline for diagnostic testing for adult obstructive sleep apnea. J Clin Sleep Med. 2017;13(3):479–504. https://doi.org/10.5664/jcsm.6506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2026-05-23T19:02:44.540Z</dcterms:created>
  <dcterms:modified xsi:type="dcterms:W3CDTF">2026-05-23T19:02:44.541Z</dcterms:modified>
</cp:coreProperties>
</file>

<file path=docProps/custom.xml><?xml version="1.0" encoding="utf-8"?>
<Properties xmlns="http://schemas.openxmlformats.org/officeDocument/2006/custom-properties" xmlns:vt="http://schemas.openxmlformats.org/officeDocument/2006/docPropsVTypes"/>
</file>