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89FDA" w14:textId="77777777" w:rsidR="00031D96" w:rsidRDefault="00000000">
      <w:pPr>
        <w:spacing w:before="480" w:after="200"/>
        <w:jc w:val="center"/>
      </w:pPr>
      <w:r>
        <w:rPr>
          <w:b/>
          <w:bCs/>
          <w:color w:val="1F3864"/>
          <w:sz w:val="36"/>
          <w:szCs w:val="36"/>
        </w:rPr>
        <w:t>Fenotipado morfológico y respuesta autonómica en eventos de desaturación nocturna: un enfoque data-driven más allá de los índices clásicos</w:t>
      </w:r>
    </w:p>
    <w:p w14:paraId="7E795598" w14:textId="77777777" w:rsidR="00031D96" w:rsidRDefault="00000000">
      <w:pPr>
        <w:spacing w:after="120"/>
        <w:jc w:val="center"/>
      </w:pPr>
      <w:r>
        <w:rPr>
          <w:i/>
          <w:iCs/>
          <w:color w:val="444444"/>
          <w:sz w:val="22"/>
          <w:szCs w:val="22"/>
        </w:rPr>
        <w:t>Data-driven morphotyping of nocturnal oxygen desaturation events reveals distinct autonomic response phenotypes beyond traditional severity indices</w:t>
      </w:r>
    </w:p>
    <w:p w14:paraId="0FD59B89" w14:textId="4999FFE8" w:rsidR="00031D96" w:rsidRDefault="0078321A">
      <w:pPr>
        <w:spacing w:before="240" w:after="80"/>
        <w:jc w:val="center"/>
      </w:pPr>
      <w:r>
        <w:rPr>
          <w:b/>
          <w:bCs/>
        </w:rPr>
        <w:t xml:space="preserve">Diego Delia - </w:t>
      </w:r>
      <w:r w:rsidR="00000000">
        <w:rPr>
          <w:b/>
          <w:bCs/>
        </w:rPr>
        <w:t>Roberto Inza</w:t>
      </w:r>
    </w:p>
    <w:p w14:paraId="10BC9F3A" w14:textId="77777777" w:rsidR="00031D96" w:rsidRDefault="00000000">
      <w:pPr>
        <w:spacing w:after="80"/>
        <w:jc w:val="center"/>
      </w:pPr>
      <w:r>
        <w:rPr>
          <w:i/>
          <w:iCs/>
          <w:color w:val="555555"/>
          <w:sz w:val="20"/>
          <w:szCs w:val="20"/>
        </w:rPr>
        <w:t>Maestría en Data Science, Universidad Austral, Buenos Aires, Argentina</w:t>
      </w:r>
    </w:p>
    <w:p w14:paraId="2F354059" w14:textId="77777777" w:rsidR="00031D96" w:rsidRDefault="00000000">
      <w:pPr>
        <w:spacing w:after="400"/>
        <w:jc w:val="center"/>
      </w:pPr>
      <w:r>
        <w:rPr>
          <w:color w:val="888888"/>
          <w:sz w:val="18"/>
          <w:szCs w:val="18"/>
        </w:rPr>
        <w:t>Mayo 2026  |  Manuscrito de tesis — Borrador para evaluación</w:t>
      </w:r>
    </w:p>
    <w:p w14:paraId="28F26CBA" w14:textId="77777777" w:rsidR="00031D96" w:rsidRDefault="00031D96">
      <w:pPr>
        <w:pBdr>
          <w:top w:val="single" w:sz="4" w:space="4" w:color="2E75B6"/>
          <w:bottom w:val="single" w:sz="4" w:space="4" w:color="2E75B6"/>
        </w:pBdr>
        <w:spacing w:before="160" w:after="160"/>
      </w:pPr>
    </w:p>
    <w:p w14:paraId="7741DF9A" w14:textId="77777777" w:rsidR="00031D96" w:rsidRDefault="00000000">
      <w:pPr>
        <w:spacing w:before="160" w:after="80" w:line="276" w:lineRule="auto"/>
        <w:jc w:val="both"/>
      </w:pPr>
      <w:r>
        <w:rPr>
          <w:b/>
          <w:bCs/>
          <w:sz w:val="22"/>
          <w:szCs w:val="22"/>
        </w:rPr>
        <w:t xml:space="preserve">Resumen. </w:t>
      </w:r>
      <w:r>
        <w:rPr>
          <w:sz w:val="22"/>
          <w:szCs w:val="22"/>
        </w:rPr>
        <w:t>Los trastornos respiratorios del sueño se diagnostican principalmente mediante índices globales de frecuencia como el AHI o el ODI, que no reflejan la heterogeneidad morfológica de los eventos individuales de desaturación de oxígeno (EDO). En este trabajo se propone un marco data-driven para caracterizar 85.277 EDOs provenientes de 560 noches domiciliarias de 12 pacientes, integrando la morfología de la curva de SpO₂ con señales de frecuencia cardíaca y movimiento. Mediante análisis de componentes principales (PCA) y clustering K-means se identificaron cinco fenotipos morfológicos reproducibles (C1–C5) que difieren en profundidad, dinámica temporal y respuesta autonómica asociada. Se propone un Índice de Respuesta Autonómica (ARI) ortogonal a la severidad hipóxica (ρ=0.034), que refleja la eficiencia de la respuesta del organismo frente al estímulo. El análisis within-stratum muestra que el ARI diferencia pacientes con carga hipóxica equivalente (p&lt;0.001 para ganancia de FC). La validación multi-noche confirma estabilidad creciente con la agregación: ICC de 0.70 (una noche) a 0.99 (multi-noche), con error absoluto que cae de 5.4 a 0.9 ev/h al pasar de 1 a 14 noches. Estos hallazgos sugieren que la heterogeneidad morfológica y la respuesta autonómica constituyen dimensiones fisiopatológicas complementarias a los índices convencionales.</w:t>
      </w:r>
    </w:p>
    <w:p w14:paraId="352C1474" w14:textId="77777777" w:rsidR="00031D96" w:rsidRDefault="00000000">
      <w:pPr>
        <w:spacing w:before="80" w:after="160"/>
      </w:pPr>
      <w:r>
        <w:rPr>
          <w:b/>
          <w:bCs/>
          <w:sz w:val="20"/>
          <w:szCs w:val="20"/>
        </w:rPr>
        <w:t xml:space="preserve">Palabras clave: </w:t>
      </w:r>
      <w:r>
        <w:rPr>
          <w:i/>
          <w:iCs/>
          <w:sz w:val="20"/>
          <w:szCs w:val="20"/>
        </w:rPr>
        <w:t>trastornos respiratorios del sueño; fenotipado morfológico; apnea del sueño; índice de respuesta autonómica; oximetría domiciliaria; clustering K-means; análisis data-driven</w:t>
      </w:r>
    </w:p>
    <w:p w14:paraId="77196334" w14:textId="77777777" w:rsidR="00031D96" w:rsidRDefault="00031D96">
      <w:pPr>
        <w:pBdr>
          <w:bottom w:val="single" w:sz="4" w:space="4" w:color="2E75B6"/>
        </w:pBdr>
        <w:spacing w:after="320"/>
      </w:pPr>
    </w:p>
    <w:p w14:paraId="23FFC385" w14:textId="77777777" w:rsidR="00031D96" w:rsidRDefault="00000000">
      <w:pPr>
        <w:pStyle w:val="Ttulo1"/>
      </w:pPr>
      <w:r>
        <w:t>1. Introducción</w:t>
      </w:r>
    </w:p>
    <w:p w14:paraId="25FC81EF" w14:textId="77777777" w:rsidR="00031D96" w:rsidRDefault="00000000">
      <w:pPr>
        <w:spacing w:after="160" w:line="276" w:lineRule="auto"/>
        <w:jc w:val="both"/>
      </w:pPr>
      <w:r>
        <w:t>El síndrome de apnea obstructiva del sueño (SAOS) afecta al 10–30% de la población adulta de mediana edad y constituye un factor de riesgo independiente para hipertensión, enfermedad cardiovascular, diabetes tipo 2 y mortalidad por todas las causas</w:t>
      </w:r>
      <w:r>
        <w:rPr>
          <w:sz w:val="18"/>
          <w:szCs w:val="18"/>
          <w:vertAlign w:val="superscript"/>
        </w:rPr>
        <w:t>[1,2,3]</w:t>
      </w:r>
      <w:r>
        <w:t>. Su diagnóstico se basa desde hace décadas en el índice de apnea-hipopnea (AHI) —número de eventos respiratorios por hora de sueño— y en métricas derivadas como el índice de desaturación de oxígeno (ODI) y el tiempo con saturación inferior al 90% (T90)</w:t>
      </w:r>
      <w:r>
        <w:rPr>
          <w:sz w:val="18"/>
          <w:szCs w:val="18"/>
          <w:vertAlign w:val="superscript"/>
        </w:rPr>
        <w:t>[4]</w:t>
      </w:r>
      <w:r>
        <w:t>. Si bien estos parámetros ofrecen una cuantificación reproducible de la carga respiratoria nocturna, presentan limitaciones conceptuales que han sido creciente objeto de discusión en la comunidad científica.</w:t>
      </w:r>
    </w:p>
    <w:p w14:paraId="631185A3" w14:textId="77777777" w:rsidR="00031D96" w:rsidRDefault="00000000">
      <w:pPr>
        <w:spacing w:after="160" w:line="276" w:lineRule="auto"/>
        <w:jc w:val="both"/>
      </w:pPr>
      <w:r>
        <w:lastRenderedPageBreak/>
        <w:t>Desde una perspectiva fisiopatológica, no todos los eventos de desaturación son equivalentes. Un evento de 4 pp de caída con recuperación rápida y taquicardia acompañante es fisiológicamente distinto de uno con caída de 15 pp, recuperación lenta y silencio autonómico —y sin embargo ambos contribuyen por igual a la suma del ODI o el AHI—. Esta homogeneización de eventos heterogéneos puede explicar, al menos en parte, por qué el AHI presenta una capacidad predictiva modesta para desenlaces cardiovasculares cuando se lo analiza de forma aislada</w:t>
      </w:r>
      <w:r>
        <w:rPr>
          <w:sz w:val="18"/>
          <w:szCs w:val="18"/>
          <w:vertAlign w:val="superscript"/>
        </w:rPr>
        <w:t>[5,6]</w:t>
      </w:r>
      <w:r>
        <w:t>.</w:t>
      </w:r>
    </w:p>
    <w:p w14:paraId="3240B9EC" w14:textId="77777777" w:rsidR="00031D96" w:rsidRDefault="00000000">
      <w:pPr>
        <w:spacing w:after="160" w:line="276" w:lineRule="auto"/>
        <w:jc w:val="both"/>
      </w:pPr>
      <w:r>
        <w:t xml:space="preserve">En los últimos años han surgido métricas alternativas orientadas a capturar dimensiones específicas del impacto fisiológico del SAOS. La </w:t>
      </w:r>
      <w:r>
        <w:rPr>
          <w:i/>
          <w:iCs/>
        </w:rPr>
        <w:t>carga hipóxica</w:t>
      </w:r>
      <w:r>
        <w:t xml:space="preserve"> (hypoxic burden), definida como el área bajo la curva de la señal de SpO₂ durante los eventos respiratorios, ha demostrado asociarse con mortalidad cardiovascular de forma independiente al AHI</w:t>
      </w:r>
      <w:r>
        <w:rPr>
          <w:sz w:val="18"/>
          <w:szCs w:val="18"/>
          <w:vertAlign w:val="superscript"/>
        </w:rPr>
        <w:t>[5]</w:t>
      </w:r>
      <w:r>
        <w:t>. Esta evidencia refuerza el argumento de que la dinámica temporal de cada evento —y no sólo su frecuencia— contiene información clínica relevante.</w:t>
      </w:r>
    </w:p>
    <w:p w14:paraId="7829684D" w14:textId="77777777" w:rsidR="00031D96" w:rsidRDefault="00000000">
      <w:pPr>
        <w:spacing w:after="160" w:line="276" w:lineRule="auto"/>
        <w:jc w:val="both"/>
      </w:pPr>
      <w:r>
        <w:t>Paralelamente, los avances en tecnología de monitoreo domiciliario han ampliado la disponibilidad de registros nocturnos de alta resolución más allá del entorno hospitalario</w:t>
      </w:r>
      <w:r>
        <w:rPr>
          <w:sz w:val="18"/>
          <w:szCs w:val="18"/>
          <w:vertAlign w:val="superscript"/>
        </w:rPr>
        <w:t>[7]</w:t>
      </w:r>
      <w:r>
        <w:t>. Los dispositivos de oximetría portátil, combinados con sensores de frecuencia cardíaca y movimiento, permiten obtener información multimodal de manera longitudinal y sin las restricciones del laboratorio de sueño. Este contexto abre la posibilidad de estudiar la variabilidad noche a noche de los parámetros fisiológicos nocturna en condiciones ecológicamente válidas</w:t>
      </w:r>
      <w:r>
        <w:rPr>
          <w:sz w:val="18"/>
          <w:szCs w:val="18"/>
          <w:vertAlign w:val="superscript"/>
        </w:rPr>
        <w:t>[8,9]</w:t>
      </w:r>
      <w:r>
        <w:t>.</w:t>
      </w:r>
    </w:p>
    <w:p w14:paraId="67933C72" w14:textId="77777777" w:rsidR="00031D96" w:rsidRDefault="00000000">
      <w:pPr>
        <w:spacing w:after="200" w:line="276" w:lineRule="auto"/>
        <w:jc w:val="both"/>
      </w:pPr>
      <w:r>
        <w:t>El presente trabajo propone un marco analítico data-driven para caracterizar morfológicamente los eventos de desaturación nocturna integrando señales de SpO₂, frecuencia cardíaca (FC) y movimiento. El enfoque tiene tres objetivos específicos: (1) identificar fenotipos morfológicos reproducibles de los EDOs mediante técnicas no supervisadas; (2) desarrollar un índice de respuesta autonómica (ARI) que cuantifique la eficiencia de la respuesta del organismo al estímulo hipóxico, ortogonal a la severidad convencional; y (3) validar la estabilidad longitudinal de las métricas propuestas a partir de registros domiciliarios multi-noche.</w:t>
      </w:r>
    </w:p>
    <w:p w14:paraId="1682BF9A" w14:textId="77777777" w:rsidR="00031D96" w:rsidRDefault="00000000">
      <w:pPr>
        <w:pStyle w:val="Ttulo1"/>
      </w:pPr>
      <w:r>
        <w:t>2. Materiales y Métodos</w:t>
      </w:r>
    </w:p>
    <w:p w14:paraId="30FD36C9" w14:textId="77777777" w:rsidR="00031D96" w:rsidRDefault="00000000">
      <w:pPr>
        <w:pStyle w:val="Ttulo2"/>
      </w:pPr>
      <w:r>
        <w:t>2.1 Diseño del estudio y cohorte</w:t>
      </w:r>
    </w:p>
    <w:p w14:paraId="7D2B8D90" w14:textId="77777777" w:rsidR="00031D96" w:rsidRDefault="00000000">
      <w:pPr>
        <w:spacing w:after="160" w:line="276" w:lineRule="auto"/>
        <w:jc w:val="both"/>
      </w:pPr>
      <w:r>
        <w:t>Se realizó un análisis retrospectivo observacional de señales fisiológicas nocturnas adquiridas en entorno domiciliario. La cohorte incluyó 12 pacientes (</w:t>
      </w:r>
      <w:r>
        <w:rPr>
          <w:b/>
          <w:bCs/>
        </w:rPr>
        <w:t>560 noches en total</w:t>
      </w:r>
      <w:r>
        <w:t>), quienes utilizaron un oxímetro portátil (SOMNI 6000) durante el sueño en su domicilio habitual. Este diseño de monitoreo ambulatorio permite obtener registros longitudinales de alta resolución sin las restricciones del laboratorio de sueño</w:t>
      </w:r>
      <w:r>
        <w:rPr>
          <w:sz w:val="18"/>
          <w:szCs w:val="18"/>
          <w:vertAlign w:val="superscript"/>
        </w:rPr>
        <w:t>[7]</w:t>
      </w:r>
      <w:r>
        <w:t xml:space="preserve">. Todos los registros del corpus analizado corresponden a la </w:t>
      </w:r>
      <w:r>
        <w:rPr>
          <w:i/>
          <w:iCs/>
        </w:rPr>
        <w:t>condición placebo</w:t>
      </w:r>
      <w:r>
        <w:t xml:space="preserve"> del dispositivo —en la que el estímulo eléctrico transcutáneo está deshabilitado—, garantizando que los cambios autonómicos registrados reflejan respuesta fisiológica pura al estímulo hipóxico y no interferencia del dispositivo.</w:t>
      </w:r>
    </w:p>
    <w:p w14:paraId="0AE2D7A2" w14:textId="77777777" w:rsidR="00031D96" w:rsidRDefault="00000000">
      <w:pPr>
        <w:spacing w:after="160" w:line="276" w:lineRule="auto"/>
        <w:jc w:val="both"/>
      </w:pPr>
      <w:r>
        <w:lastRenderedPageBreak/>
        <w:t>Las señales registradas incluyeron saturación de oxígeno (SpO₂) a 1 Hz, frecuencia cardíaca (FC) derivada del sensor, y nivel de movimiento del sujeto. La duración media del registro nocturno fue de 5.8 ± 1.5 horas. El estudio siguió los principios de la Declaración de Helsinki y los datos fueron pseudonimizados antes del análisis.</w:t>
      </w:r>
    </w:p>
    <w:p w14:paraId="3B77212B" w14:textId="77777777" w:rsidR="00031D96" w:rsidRDefault="00000000">
      <w:pPr>
        <w:pStyle w:val="Ttulo2"/>
      </w:pPr>
      <w:r>
        <w:t>2.2 Pipeline de procesamiento PAC_v2</w:t>
      </w:r>
    </w:p>
    <w:p w14:paraId="644034C1" w14:textId="77777777" w:rsidR="00031D96" w:rsidRDefault="00000000">
      <w:pPr>
        <w:spacing w:after="160" w:line="276" w:lineRule="auto"/>
        <w:jc w:val="both"/>
      </w:pPr>
      <w:r>
        <w:t>Los datos crudos fueron procesados mediante el pipeline PAC_v2 (Physiological Analysis Continuum), un sistema modular de análisis de registros de oximetría nocturna. El pipeline incluye etapas de ingesta y control de calidad (bronze), normalización y limpieza de señales (silver), detección y caracterización de eventos (events), y consolidación de métricas a nivel de noche y paciente (gold). Las señales de SpO₂ y FC fueron sometidas a control de calidad por rango (SpO₂ ∈ [70, 100]%; FC ∈ [30, 200] lpm) y por continuidad temporal.</w:t>
      </w:r>
    </w:p>
    <w:p w14:paraId="0E34AA8E" w14:textId="77777777" w:rsidR="00031D96" w:rsidRDefault="00000000">
      <w:pPr>
        <w:pStyle w:val="Ttulo2"/>
      </w:pPr>
      <w:r>
        <w:t>2.3 Detección y normalización de eventos</w:t>
      </w:r>
    </w:p>
    <w:p w14:paraId="157FC648" w14:textId="77777777" w:rsidR="00031D96" w:rsidRDefault="00000000">
      <w:pPr>
        <w:spacing w:after="160" w:line="276" w:lineRule="auto"/>
        <w:jc w:val="both"/>
      </w:pPr>
      <w:r>
        <w:t>Un evento de desaturación de oxígeno (EDO) se definió como una caída de la SpO₂ ≥ 3 pp respecto al valor basal, con duración mínima de 10 s y recuperación al 90% del valor basal. El valor basal de cada evento se estimó como la mediana de SpO₂ en la ventana temporal previa (300 s), excluyendo los 30 s inmediatamente anteriores al inicio del evento. Este enfoque de basalización local es preferible al promedio nocturno, que incorpora el efecto acumulado de todas las desaturaciones y subestima el basal en noches de alta carga hipóxica</w:t>
      </w:r>
    </w:p>
    <w:p w14:paraId="61E67093" w14:textId="77777777" w:rsidR="00031D96" w:rsidRDefault="00000000">
      <w:pPr>
        <w:spacing w:after="160" w:line="276" w:lineRule="auto"/>
        <w:jc w:val="both"/>
      </w:pPr>
      <w:r>
        <w:t>Para permitir la comparación morfológica entre eventos de distinta duración, cada curva de SpO₂ fue remuestreada a 30 puntos equiespaciados (interpolación cúbica), normalizando el eje temporal al 0–100% de la duración del evento. El valor de SpO₂ se expresó como desviación respecto al basal local (Δ SpO₂, en pp), siendo negativo durante la desaturación.</w:t>
      </w:r>
    </w:p>
    <w:p w14:paraId="6079AEFC" w14:textId="77777777" w:rsidR="00031D96" w:rsidRDefault="00000000">
      <w:pPr>
        <w:pStyle w:val="Ttulo2"/>
      </w:pPr>
      <w:r>
        <w:t>2.4 Análisis morfológico: PCA y K-means</w:t>
      </w:r>
    </w:p>
    <w:p w14:paraId="373AF5DB" w14:textId="77777777" w:rsidR="00031D96" w:rsidRDefault="00000000">
      <w:pPr>
        <w:spacing w:after="160" w:line="276" w:lineRule="auto"/>
        <w:jc w:val="both"/>
      </w:pPr>
      <w:r>
        <w:t>El análisis morfológico se realizó en dos etapas. En primer lugar, se aplicó un Análisis de Componentes Principales (PCA)</w:t>
      </w:r>
      <w:r>
        <w:rPr>
          <w:sz w:val="18"/>
          <w:szCs w:val="18"/>
          <w:vertAlign w:val="superscript"/>
        </w:rPr>
        <w:t>[10]</w:t>
      </w:r>
      <w:r>
        <w:t xml:space="preserve"> sobre la matriz de curvas normalizadas (n×30) para evaluar la estructura de baja dimensionalidad del espacio morfológico y reducir el ruido de estimación. En segundo lugar, se entrenó un algoritmo K-means</w:t>
      </w:r>
      <w:r>
        <w:rPr>
          <w:sz w:val="18"/>
          <w:szCs w:val="18"/>
          <w:vertAlign w:val="superscript"/>
        </w:rPr>
        <w:t>[11]</w:t>
      </w:r>
      <w:r>
        <w:t xml:space="preserve"> sobre las curvas normalizadas, con k=5 grupos determinados mediante el criterio del codo (elbow) y validación por índice de silueta. El modelo fue entrenado con 85.277 eventos válidos (semilla aleatoria = 42; métrica: inercia intra-cluster). Los centroides obtenidos fueron almacenados para su uso en inferencia sobre nuevas noches.</w:t>
      </w:r>
    </w:p>
    <w:p w14:paraId="6BF69325" w14:textId="77777777" w:rsidR="00031D96" w:rsidRDefault="00000000">
      <w:pPr>
        <w:spacing w:after="160" w:line="276" w:lineRule="auto"/>
        <w:jc w:val="both"/>
      </w:pPr>
      <w:r>
        <w:t>Adicionalmente, cada evento fue caracterizado mediante una representación morfológica alternativa basada en cuatro descriptores griegos: pendiente de desaturación (α), pendiente de recuperación (β), profundidad del nadir (γ) y asimetría temporal (δ). Esta representación complementaria permitió validar la coherencia de los clusters K-means.</w:t>
      </w:r>
    </w:p>
    <w:p w14:paraId="6D77E24F" w14:textId="77777777" w:rsidR="00031D96" w:rsidRDefault="00000000">
      <w:pPr>
        <w:pStyle w:val="Ttulo2"/>
      </w:pPr>
      <w:r>
        <w:lastRenderedPageBreak/>
        <w:t>2.5 Índice de Respuesta Autonómica (ARI)</w:t>
      </w:r>
    </w:p>
    <w:p w14:paraId="2B31D1E2" w14:textId="77777777" w:rsidR="00031D96" w:rsidRDefault="00000000">
      <w:pPr>
        <w:spacing w:after="100" w:line="276" w:lineRule="auto"/>
        <w:jc w:val="both"/>
      </w:pPr>
      <w:r>
        <w:t>Para capturar la respuesta fisiológica asociada a cada EDO, se desarrolló el Índice de Respuesta Autonómica (ARI). El ARI cuantifica la eficiencia de la respuesta del organismo frente al estímulo hipóxico, definida como la relación entre la respuesta autonómica (cambios en FC y movimiento) y la intensidad del estímulo (caída de SpO₂).</w:t>
      </w:r>
    </w:p>
    <w:p w14:paraId="314D9535" w14:textId="77777777" w:rsidR="00031D96" w:rsidRDefault="00000000">
      <w:pPr>
        <w:spacing w:after="60" w:line="276" w:lineRule="auto"/>
        <w:jc w:val="both"/>
      </w:pPr>
      <w:r>
        <w:t>Formalmente, el ARI se define como:</w:t>
      </w:r>
    </w:p>
    <w:p w14:paraId="0861DE63" w14:textId="77777777" w:rsidR="00031D96" w:rsidRDefault="00000000">
      <w:pPr>
        <w:spacing w:before="80" w:after="80"/>
        <w:jc w:val="center"/>
      </w:pPr>
      <w:r>
        <w:rPr>
          <w:rFonts w:ascii="Courier New" w:eastAsia="Courier New" w:hAnsi="Courier New" w:cs="Courier New"/>
          <w:b/>
          <w:bCs/>
        </w:rPr>
        <w:t>ARI = 0.6 · Pct(ΔHR / ΔSpO₂) + 0.4 · Pct(ΔMov / ΔSpO₂)     (1)</w:t>
      </w:r>
    </w:p>
    <w:p w14:paraId="2D9D1E0F" w14:textId="77777777" w:rsidR="00031D96" w:rsidRDefault="00000000">
      <w:pPr>
        <w:spacing w:after="160" w:line="276" w:lineRule="auto"/>
        <w:jc w:val="both"/>
      </w:pPr>
      <w:r>
        <w:t>donde ΔHR es el incremento de frecuencia cardíaca (lpm) asociado al evento, ΔSpO₂ la magnitud de la desaturación (pp), ΔMov el incremento de movimiento, y Pct(·) denota la transformación al rango percentil dentro del corpus completo de eventos (</w:t>
      </w:r>
      <w:r>
        <w:rPr>
          <w:b/>
          <w:bCs/>
        </w:rPr>
        <w:t>84.248 EDOs válidos con drop_pct &gt; 0</w:t>
      </w:r>
      <w:r>
        <w:t>). Los pesos 0.6 y 0.4 reflejan la mayor varianza explicada por el componente cardíaco. La transformación percentil hace al ARI adimensional y robusto a diferencias de escala entre variables.</w:t>
      </w:r>
    </w:p>
    <w:p w14:paraId="7F96F1B9" w14:textId="77777777" w:rsidR="00031D96" w:rsidRDefault="00000000">
      <w:pPr>
        <w:spacing w:after="160" w:line="276" w:lineRule="auto"/>
        <w:jc w:val="both"/>
      </w:pPr>
      <w:r>
        <w:t>La ortogonalidad del ARI respecto a la severidad hipóxica fue verificada empíricamente mediante correlación de Spearman entre ARI y drop_pct (ρ = 0.034, p &lt; 10</w:t>
      </w:r>
      <w:r>
        <w:rPr>
          <w:sz w:val="18"/>
          <w:szCs w:val="18"/>
          <w:vertAlign w:val="superscript"/>
        </w:rPr>
        <w:t>-23</w:t>
      </w:r>
      <w:r>
        <w:t>), confirmando que el índice captura información fisiológica independiente de la magnitud de la caída.</w:t>
      </w:r>
    </w:p>
    <w:p w14:paraId="5CC442F6" w14:textId="77777777" w:rsidR="00031D96" w:rsidRDefault="00000000">
      <w:pPr>
        <w:pStyle w:val="Ttulo2"/>
      </w:pPr>
      <w:r>
        <w:t>2.6 Índices de noche</w:t>
      </w:r>
    </w:p>
    <w:p w14:paraId="7049C1D6" w14:textId="77777777" w:rsidR="00031D96" w:rsidRDefault="00000000">
      <w:pPr>
        <w:spacing w:after="160" w:line="276" w:lineRule="auto"/>
        <w:jc w:val="both"/>
      </w:pPr>
      <w:r>
        <w:t>Para cada noche se calcularon tanto índices clásicos (ODI3, T90, SpO₂ mínima, carga hipóxica) como métricas derivadas del análisis morfológico: fracción de eventos por morfotipo (frac_C1–C5), fracción de eventos severos (frac_C4+C5), ARI mediano y percentil 90, y ganancia de FC (ΔHR/ΔSpO₂). La severidad nocturna se clasificó mediante ODI3: Leve (&lt;5 ev/h), Moderado (5–15 ev/h), Grave (15–30 ev/h) y Muy grave (≥30 ev/h).</w:t>
      </w:r>
    </w:p>
    <w:p w14:paraId="589E3337" w14:textId="77777777" w:rsidR="00031D96" w:rsidRDefault="00000000">
      <w:pPr>
        <w:pStyle w:val="Ttulo2"/>
      </w:pPr>
      <w:r>
        <w:t>2.7 Validación interna multi-noche</w:t>
      </w:r>
    </w:p>
    <w:p w14:paraId="481FA437" w14:textId="77777777" w:rsidR="00031D96" w:rsidRDefault="00000000">
      <w:pPr>
        <w:spacing w:after="160" w:line="276" w:lineRule="auto"/>
        <w:jc w:val="both"/>
      </w:pPr>
      <w:r>
        <w:t>En ausencia de polisomnografía (PSG) como estándar externo, se implementó una estrategia de validación basada en consistencia interna y reproducibilidad longitudinal. Se definió como referencia interna el promedio multi-noche del ODI3 por paciente, asumiendo que la agregación de múltiples noches reduce el error aleatorio y aproxima el valor fisiológico subyacente</w:t>
      </w:r>
      <w:r>
        <w:rPr>
          <w:sz w:val="18"/>
          <w:szCs w:val="18"/>
          <w:vertAlign w:val="superscript"/>
        </w:rPr>
        <w:t>[8,9]</w:t>
      </w:r>
      <w:r>
        <w:t>. Se evaluaron: (1) consistencia interna entre niveles de agregación (evento vs. noche); (2) variabilidad intraindividual mediante coeficiente de variación (CV); (3) reproducibilidad mediante coeficiente de correlación intraclase ICC(1,1)</w:t>
      </w:r>
      <w:r>
        <w:rPr>
          <w:sz w:val="18"/>
          <w:szCs w:val="18"/>
          <w:vertAlign w:val="superscript"/>
        </w:rPr>
        <w:t>[12]</w:t>
      </w:r>
      <w:r>
        <w:t>; (4) concordancia mediante análisis de Bland–Altman</w:t>
      </w:r>
      <w:r>
        <w:rPr>
          <w:sz w:val="18"/>
          <w:szCs w:val="18"/>
          <w:vertAlign w:val="superscript"/>
        </w:rPr>
        <w:t>[13]</w:t>
      </w:r>
      <w:r>
        <w:t>; y (5) estabilización multi-noche mediante simulación bootstrap en pacientes con ≥14 noches válidas (n=7).</w:t>
      </w:r>
    </w:p>
    <w:p w14:paraId="00EBA6A7" w14:textId="77777777" w:rsidR="00031D96" w:rsidRDefault="00000000">
      <w:pPr>
        <w:pStyle w:val="Ttulo2"/>
      </w:pPr>
      <w:r>
        <w:t>2.8 Análisis estadístico</w:t>
      </w:r>
    </w:p>
    <w:p w14:paraId="6B6511E2" w14:textId="77777777" w:rsidR="00031D96" w:rsidRDefault="00000000">
      <w:pPr>
        <w:spacing w:after="200" w:line="276" w:lineRule="auto"/>
        <w:jc w:val="both"/>
      </w:pPr>
      <w:r>
        <w:t xml:space="preserve">La descripción de variables continuas se realizó mediante mediana e IQR (distribuciones asimétricas) o media ± DE (distribuciones simétricas). Las comparaciones entre morfotipos se realizaron con Kruskal–Wallis con corrección de Bonferroni para </w:t>
      </w:r>
      <w:r>
        <w:lastRenderedPageBreak/>
        <w:t>comparaciones múltiples. La asociación entre variables se evaluó mediante correlación de Spearman. El análisis within-stratum evaluó diferencias de respuesta autonómica dentro de cada estrato de severidad, dividiendo por la mediana del ARI. El nivel de significación adoptado fue α=0.05. Todos los análisis se realizaron en Python 3.11 con las bibliotecas pandas, numpy, scipy y scikit-learn.</w:t>
      </w:r>
    </w:p>
    <w:p w14:paraId="1F6BF44E" w14:textId="77777777" w:rsidR="00031D96" w:rsidRDefault="00000000">
      <w:pPr>
        <w:pStyle w:val="Ttulo1"/>
      </w:pPr>
      <w:r>
        <w:t>3. Resultados</w:t>
      </w:r>
    </w:p>
    <w:p w14:paraId="0B881441" w14:textId="77777777" w:rsidR="00031D96" w:rsidRDefault="00000000">
      <w:pPr>
        <w:pStyle w:val="Ttulo2"/>
      </w:pPr>
      <w:r>
        <w:t>3.1 Descripción de la cohorte</w:t>
      </w:r>
    </w:p>
    <w:p w14:paraId="7E7DB2C3" w14:textId="77777777" w:rsidR="00031D96" w:rsidRDefault="00000000">
      <w:pPr>
        <w:spacing w:after="120" w:line="276" w:lineRule="auto"/>
        <w:jc w:val="both"/>
      </w:pPr>
      <w:r>
        <w:t xml:space="preserve">La cohorte incluyó 12 pacientes con un total de </w:t>
      </w:r>
      <w:r>
        <w:rPr>
          <w:b/>
          <w:bCs/>
        </w:rPr>
        <w:t>560 noches de registro</w:t>
      </w:r>
      <w:r>
        <w:t xml:space="preserve"> y </w:t>
      </w:r>
      <w:r>
        <w:rPr>
          <w:b/>
          <w:bCs/>
        </w:rPr>
        <w:t>85.277 EDOs con morfotipo asignado</w:t>
      </w:r>
      <w:r>
        <w:t xml:space="preserve"> (98.8% del total de 85.286 eventos detectados). La distribución de severidad nocturna fue heterogénea pero sesgada hacia el rango moderado-grave: Leve 5.2% (n=29 noches), Moderado 46.2% (n=259), Grave 38.9% (n=218) y Muy grave 9.6% (n=54). Los índices nocturnos de la cohorte se resumen en la Tabla 1.</w:t>
      </w:r>
    </w:p>
    <w:p w14:paraId="373FE90A" w14:textId="77777777" w:rsidR="00031D96" w:rsidRDefault="00000000">
      <w:pPr>
        <w:spacing w:before="80" w:after="80"/>
      </w:pPr>
      <w:r>
        <w:rPr>
          <w:b/>
          <w:bCs/>
          <w:sz w:val="20"/>
          <w:szCs w:val="20"/>
        </w:rPr>
        <w:t xml:space="preserve">Tabla 1. </w:t>
      </w:r>
      <w:r>
        <w:rPr>
          <w:sz w:val="20"/>
          <w:szCs w:val="20"/>
        </w:rPr>
        <w:t>Estadísticos descriptivos de índices nocturnos (560 noches quality).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7"/>
        <w:gridCol w:w="1358"/>
        <w:gridCol w:w="1321"/>
        <w:gridCol w:w="947"/>
        <w:gridCol w:w="945"/>
        <w:gridCol w:w="924"/>
        <w:gridCol w:w="1344"/>
      </w:tblGrid>
      <w:tr w:rsidR="00031D96" w14:paraId="38E7E48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9DBE466" w14:textId="77777777" w:rsidR="00031D96" w:rsidRDefault="00000000">
            <w:pPr>
              <w:jc w:val="center"/>
            </w:pPr>
            <w:r>
              <w:rPr>
                <w:b/>
                <w:bCs/>
                <w:color w:val="FFFFFF"/>
                <w:sz w:val="20"/>
                <w:szCs w:val="20"/>
              </w:rPr>
              <w:t>Índice</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3D5E6A2" w14:textId="77777777" w:rsidR="00031D96" w:rsidRDefault="00000000">
            <w:pPr>
              <w:jc w:val="center"/>
            </w:pPr>
            <w:r>
              <w:rPr>
                <w:b/>
                <w:bCs/>
                <w:color w:val="FFFFFF"/>
                <w:sz w:val="20"/>
                <w:szCs w:val="20"/>
              </w:rPr>
              <w:t>Media</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FFDBCED" w14:textId="77777777" w:rsidR="00031D96" w:rsidRDefault="00000000">
            <w:pPr>
              <w:jc w:val="center"/>
            </w:pPr>
            <w:r>
              <w:rPr>
                <w:b/>
                <w:bCs/>
                <w:color w:val="FFFFFF"/>
                <w:sz w:val="20"/>
                <w:szCs w:val="20"/>
              </w:rPr>
              <w:t>DE</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445B579" w14:textId="77777777" w:rsidR="00031D96" w:rsidRDefault="00000000">
            <w:pPr>
              <w:jc w:val="center"/>
            </w:pPr>
            <w:r>
              <w:rPr>
                <w:b/>
                <w:bCs/>
                <w:color w:val="FFFFFF"/>
                <w:sz w:val="20"/>
                <w:szCs w:val="20"/>
              </w:rPr>
              <w:t>CV%</w:t>
            </w:r>
          </w:p>
        </w:tc>
        <w:tc>
          <w:tcPr>
            <w:tcW w:w="1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14FDA05" w14:textId="77777777" w:rsidR="00031D96" w:rsidRDefault="00000000">
            <w:pPr>
              <w:jc w:val="center"/>
            </w:pPr>
            <w:r>
              <w:rPr>
                <w:b/>
                <w:bCs/>
                <w:color w:val="FFFFFF"/>
                <w:sz w:val="20"/>
                <w:szCs w:val="20"/>
              </w:rPr>
              <w:t>Mín</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F6BBD6B" w14:textId="77777777" w:rsidR="00031D96" w:rsidRDefault="00000000">
            <w:pPr>
              <w:jc w:val="center"/>
            </w:pPr>
            <w:r>
              <w:rPr>
                <w:b/>
                <w:bCs/>
                <w:color w:val="FFFFFF"/>
                <w:sz w:val="20"/>
                <w:szCs w:val="20"/>
              </w:rPr>
              <w:t>P50</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4E9646" w14:textId="77777777" w:rsidR="00031D96" w:rsidRDefault="00000000">
            <w:pPr>
              <w:jc w:val="center"/>
            </w:pPr>
            <w:r>
              <w:rPr>
                <w:b/>
                <w:bCs/>
                <w:color w:val="FFFFFF"/>
                <w:sz w:val="20"/>
                <w:szCs w:val="20"/>
              </w:rPr>
              <w:t>Máx</w:t>
            </w:r>
          </w:p>
        </w:tc>
      </w:tr>
      <w:tr w:rsidR="00031D96" w14:paraId="3DD11B8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7EF5B" w14:textId="77777777" w:rsidR="00031D96" w:rsidRDefault="00000000">
            <w:pPr>
              <w:jc w:val="center"/>
            </w:pPr>
            <w:r>
              <w:rPr>
                <w:sz w:val="20"/>
                <w:szCs w:val="20"/>
              </w:rPr>
              <w:t>ODI3 (ev/h)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652C0" w14:textId="77777777" w:rsidR="00031D96" w:rsidRDefault="00000000">
            <w:pPr>
              <w:jc w:val="center"/>
            </w:pPr>
            <w:r>
              <w:rPr>
                <w:sz w:val="20"/>
                <w:szCs w:val="20"/>
              </w:rPr>
              <w:t>17.9</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13750" w14:textId="77777777" w:rsidR="00031D96" w:rsidRDefault="00000000">
            <w:pPr>
              <w:jc w:val="center"/>
            </w:pPr>
            <w:r>
              <w:rPr>
                <w:sz w:val="20"/>
                <w:szCs w:val="20"/>
              </w:rPr>
              <w:t>14.1</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3CE4E" w14:textId="77777777" w:rsidR="00031D96" w:rsidRDefault="00000000">
            <w:pPr>
              <w:jc w:val="center"/>
            </w:pPr>
            <w:r>
              <w:rPr>
                <w:sz w:val="20"/>
                <w:szCs w:val="20"/>
              </w:rPr>
              <w:t>78.6</w:t>
            </w:r>
          </w:p>
        </w:tc>
        <w:tc>
          <w:tcPr>
            <w:tcW w:w="1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E62CB" w14:textId="77777777" w:rsidR="00031D96" w:rsidRDefault="00000000">
            <w:pPr>
              <w:jc w:val="center"/>
            </w:pPr>
            <w:r>
              <w:rPr>
                <w:sz w:val="20"/>
                <w:szCs w:val="20"/>
              </w:rPr>
              <w:t>1.8</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10B7D" w14:textId="77777777" w:rsidR="00031D96" w:rsidRDefault="00000000">
            <w:pPr>
              <w:jc w:val="center"/>
            </w:pPr>
            <w:r>
              <w:rPr>
                <w:sz w:val="20"/>
                <w:szCs w:val="20"/>
              </w:rPr>
              <w:t>14.6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C2C375" w14:textId="77777777" w:rsidR="00031D96" w:rsidRDefault="00000000">
            <w:pPr>
              <w:jc w:val="center"/>
            </w:pPr>
            <w:r>
              <w:rPr>
                <w:sz w:val="20"/>
                <w:szCs w:val="20"/>
              </w:rPr>
              <w:t>98.6</w:t>
            </w:r>
          </w:p>
        </w:tc>
      </w:tr>
      <w:tr w:rsidR="00031D96" w14:paraId="0E2CDC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19AA1D" w14:textId="77777777" w:rsidR="00031D96" w:rsidRDefault="00000000">
            <w:pPr>
              <w:jc w:val="center"/>
            </w:pPr>
            <w:r>
              <w:rPr>
                <w:sz w:val="20"/>
                <w:szCs w:val="20"/>
              </w:rPr>
              <w:t>ODI4 (ev/h)</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9FEA7B" w14:textId="77777777" w:rsidR="00031D96" w:rsidRDefault="00000000">
            <w:pPr>
              <w:jc w:val="center"/>
            </w:pPr>
            <w:r>
              <w:rPr>
                <w:sz w:val="20"/>
                <w:szCs w:val="20"/>
              </w:rPr>
              <w:t>12.5</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F3699E" w14:textId="77777777" w:rsidR="00031D96" w:rsidRDefault="00000000">
            <w:pPr>
              <w:jc w:val="center"/>
            </w:pPr>
            <w:r>
              <w:rPr>
                <w:sz w:val="20"/>
                <w:szCs w:val="20"/>
              </w:rPr>
              <w:t>11.8</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27B2AF" w14:textId="77777777" w:rsidR="00031D96" w:rsidRDefault="00000000">
            <w:pPr>
              <w:jc w:val="center"/>
            </w:pPr>
            <w:r>
              <w:rPr>
                <w:sz w:val="20"/>
                <w:szCs w:val="20"/>
              </w:rPr>
              <w:t>94.3</w:t>
            </w:r>
          </w:p>
        </w:tc>
        <w:tc>
          <w:tcPr>
            <w:tcW w:w="1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FEA6B7" w14:textId="77777777" w:rsidR="00031D96" w:rsidRDefault="00000000">
            <w:pPr>
              <w:jc w:val="center"/>
            </w:pPr>
            <w:r>
              <w:rPr>
                <w:sz w:val="20"/>
                <w:szCs w:val="20"/>
              </w:rPr>
              <w:t>1.0</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4E645E" w14:textId="77777777" w:rsidR="00031D96" w:rsidRDefault="00000000">
            <w:pPr>
              <w:jc w:val="center"/>
            </w:pPr>
            <w:r>
              <w:rPr>
                <w:sz w:val="20"/>
                <w:szCs w:val="20"/>
              </w:rPr>
              <w:t>9.2</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6D323C" w14:textId="77777777" w:rsidR="00031D96" w:rsidRDefault="00000000">
            <w:pPr>
              <w:jc w:val="center"/>
            </w:pPr>
            <w:r>
              <w:rPr>
                <w:sz w:val="20"/>
                <w:szCs w:val="20"/>
              </w:rPr>
              <w:t>80.9</w:t>
            </w:r>
          </w:p>
        </w:tc>
      </w:tr>
      <w:tr w:rsidR="00031D96" w14:paraId="357EC99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1B7BA4" w14:textId="77777777" w:rsidR="00031D96" w:rsidRDefault="00000000">
            <w:pPr>
              <w:jc w:val="center"/>
            </w:pPr>
            <w:r>
              <w:rPr>
                <w:sz w:val="20"/>
                <w:szCs w:val="20"/>
              </w:rPr>
              <w:t>T90 (%)</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340C2" w14:textId="77777777" w:rsidR="00031D96" w:rsidRDefault="00000000">
            <w:pPr>
              <w:jc w:val="center"/>
            </w:pPr>
            <w:r>
              <w:rPr>
                <w:sz w:val="20"/>
                <w:szCs w:val="20"/>
              </w:rPr>
              <w:t>3.8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B827D1" w14:textId="77777777" w:rsidR="00031D96" w:rsidRDefault="00000000">
            <w:pPr>
              <w:jc w:val="center"/>
            </w:pPr>
            <w:r>
              <w:rPr>
                <w:sz w:val="20"/>
                <w:szCs w:val="20"/>
              </w:rPr>
              <w:t>8.2</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C78DB" w14:textId="77777777" w:rsidR="00031D96" w:rsidRDefault="00000000">
            <w:pPr>
              <w:jc w:val="center"/>
            </w:pPr>
            <w:r>
              <w:rPr>
                <w:sz w:val="20"/>
                <w:szCs w:val="20"/>
              </w:rPr>
              <w:t>215.3</w:t>
            </w:r>
          </w:p>
        </w:tc>
        <w:tc>
          <w:tcPr>
            <w:tcW w:w="1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155409" w14:textId="77777777" w:rsidR="00031D96" w:rsidRDefault="00000000">
            <w:pPr>
              <w:jc w:val="center"/>
            </w:pPr>
            <w:r>
              <w:rPr>
                <w:sz w:val="20"/>
                <w:szCs w:val="20"/>
              </w:rPr>
              <w:t>0.0</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459504" w14:textId="77777777" w:rsidR="00031D96" w:rsidRDefault="00000000">
            <w:pPr>
              <w:jc w:val="center"/>
            </w:pPr>
            <w:r>
              <w:rPr>
                <w:sz w:val="20"/>
                <w:szCs w:val="20"/>
              </w:rPr>
              <w:t>1.8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299B0" w14:textId="77777777" w:rsidR="00031D96" w:rsidRDefault="00000000">
            <w:pPr>
              <w:jc w:val="center"/>
            </w:pPr>
            <w:r>
              <w:rPr>
                <w:sz w:val="20"/>
                <w:szCs w:val="20"/>
              </w:rPr>
              <w:t>91.5</w:t>
            </w:r>
          </w:p>
        </w:tc>
      </w:tr>
      <w:tr w:rsidR="00031D96" w14:paraId="6AAE316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0922E3" w14:textId="77777777" w:rsidR="00031D96" w:rsidRDefault="00000000">
            <w:pPr>
              <w:jc w:val="center"/>
            </w:pPr>
            <w:r>
              <w:rPr>
                <w:sz w:val="20"/>
                <w:szCs w:val="20"/>
              </w:rPr>
              <w:t>SpO₂ mín (%)</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8C47AA" w14:textId="77777777" w:rsidR="00031D96" w:rsidRDefault="00000000">
            <w:pPr>
              <w:jc w:val="center"/>
            </w:pPr>
            <w:r>
              <w:rPr>
                <w:sz w:val="20"/>
                <w:szCs w:val="20"/>
              </w:rPr>
              <w:t>70.5</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A61F7F" w14:textId="77777777" w:rsidR="00031D96" w:rsidRDefault="00000000">
            <w:pPr>
              <w:jc w:val="center"/>
            </w:pPr>
            <w:r>
              <w:rPr>
                <w:sz w:val="20"/>
                <w:szCs w:val="20"/>
              </w:rPr>
              <w:t>8.7</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1323B3" w14:textId="77777777" w:rsidR="00031D96" w:rsidRDefault="00000000">
            <w:pPr>
              <w:jc w:val="center"/>
            </w:pPr>
            <w:r>
              <w:rPr>
                <w:sz w:val="20"/>
                <w:szCs w:val="20"/>
              </w:rPr>
              <w:t>12.4</w:t>
            </w:r>
          </w:p>
        </w:tc>
        <w:tc>
          <w:tcPr>
            <w:tcW w:w="1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4D7EB2" w14:textId="77777777" w:rsidR="00031D96" w:rsidRDefault="00000000">
            <w:pPr>
              <w:jc w:val="center"/>
            </w:pPr>
            <w:r>
              <w:rPr>
                <w:sz w:val="20"/>
                <w:szCs w:val="20"/>
              </w:rPr>
              <w:t>55.0</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021F19" w14:textId="77777777" w:rsidR="00031D96" w:rsidRDefault="00000000">
            <w:pPr>
              <w:jc w:val="center"/>
            </w:pPr>
            <w:r>
              <w:rPr>
                <w:sz w:val="20"/>
                <w:szCs w:val="20"/>
              </w:rPr>
              <w:t>71.0</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6FD0E8" w14:textId="77777777" w:rsidR="00031D96" w:rsidRDefault="00000000">
            <w:pPr>
              <w:jc w:val="center"/>
            </w:pPr>
            <w:r>
              <w:rPr>
                <w:sz w:val="20"/>
                <w:szCs w:val="20"/>
              </w:rPr>
              <w:t>88.0</w:t>
            </w:r>
          </w:p>
        </w:tc>
      </w:tr>
      <w:tr w:rsidR="00031D96" w14:paraId="763E6D0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AA73E" w14:textId="77777777" w:rsidR="00031D96" w:rsidRDefault="00000000">
            <w:pPr>
              <w:jc w:val="center"/>
            </w:pPr>
            <w:r>
              <w:rPr>
                <w:sz w:val="20"/>
                <w:szCs w:val="20"/>
              </w:rPr>
              <w:t>SpO₂ media (%)</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DED968" w14:textId="77777777" w:rsidR="00031D96" w:rsidRDefault="00000000">
            <w:pPr>
              <w:jc w:val="center"/>
            </w:pPr>
            <w:r>
              <w:rPr>
                <w:sz w:val="20"/>
                <w:szCs w:val="20"/>
              </w:rPr>
              <w:t>93.7</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72322" w14:textId="77777777" w:rsidR="00031D96" w:rsidRDefault="00000000">
            <w:pPr>
              <w:jc w:val="center"/>
            </w:pPr>
            <w:r>
              <w:rPr>
                <w:sz w:val="20"/>
                <w:szCs w:val="20"/>
              </w:rPr>
              <w:t>1.4</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B733E" w14:textId="77777777" w:rsidR="00031D96" w:rsidRDefault="00000000">
            <w:pPr>
              <w:jc w:val="center"/>
            </w:pPr>
            <w:r>
              <w:rPr>
                <w:sz w:val="20"/>
                <w:szCs w:val="20"/>
              </w:rPr>
              <w:t>1.5</w:t>
            </w:r>
          </w:p>
        </w:tc>
        <w:tc>
          <w:tcPr>
            <w:tcW w:w="1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0EB97" w14:textId="77777777" w:rsidR="00031D96" w:rsidRDefault="00000000">
            <w:pPr>
              <w:jc w:val="center"/>
            </w:pPr>
            <w:r>
              <w:rPr>
                <w:sz w:val="20"/>
                <w:szCs w:val="20"/>
              </w:rPr>
              <w:t>78.0</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FAC011" w14:textId="77777777" w:rsidR="00031D96" w:rsidRDefault="00000000">
            <w:pPr>
              <w:jc w:val="center"/>
            </w:pPr>
            <w:r>
              <w:rPr>
                <w:sz w:val="20"/>
                <w:szCs w:val="20"/>
              </w:rPr>
              <w:t>93.9</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A73F91" w14:textId="77777777" w:rsidR="00031D96" w:rsidRDefault="00000000">
            <w:pPr>
              <w:jc w:val="center"/>
            </w:pPr>
            <w:r>
              <w:rPr>
                <w:sz w:val="20"/>
                <w:szCs w:val="20"/>
              </w:rPr>
              <w:t>96.4</w:t>
            </w:r>
          </w:p>
        </w:tc>
      </w:tr>
      <w:tr w:rsidR="00031D96" w14:paraId="3641A2B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E966BB" w14:textId="77777777" w:rsidR="00031D96" w:rsidRDefault="00000000">
            <w:pPr>
              <w:jc w:val="center"/>
            </w:pPr>
            <w:r>
              <w:rPr>
                <w:sz w:val="20"/>
                <w:szCs w:val="20"/>
              </w:rPr>
              <w:t>FC media (lpm)</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16EED2" w14:textId="77777777" w:rsidR="00031D96" w:rsidRDefault="00000000">
            <w:pPr>
              <w:jc w:val="center"/>
            </w:pPr>
            <w:r>
              <w:rPr>
                <w:sz w:val="20"/>
                <w:szCs w:val="20"/>
              </w:rPr>
              <w:t>61.3</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D4D4CA" w14:textId="77777777" w:rsidR="00031D96" w:rsidRDefault="00000000">
            <w:pPr>
              <w:jc w:val="center"/>
            </w:pPr>
            <w:r>
              <w:rPr>
                <w:sz w:val="20"/>
                <w:szCs w:val="20"/>
              </w:rPr>
              <w:t>5.5</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F435CE" w14:textId="77777777" w:rsidR="00031D96" w:rsidRDefault="00000000">
            <w:pPr>
              <w:jc w:val="center"/>
            </w:pPr>
            <w:r>
              <w:rPr>
                <w:sz w:val="20"/>
                <w:szCs w:val="20"/>
              </w:rPr>
              <w:t>9.0</w:t>
            </w:r>
          </w:p>
        </w:tc>
        <w:tc>
          <w:tcPr>
            <w:tcW w:w="1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C0F34E" w14:textId="77777777" w:rsidR="00031D96" w:rsidRDefault="00000000">
            <w:pPr>
              <w:jc w:val="center"/>
            </w:pPr>
            <w:r>
              <w:rPr>
                <w:sz w:val="20"/>
                <w:szCs w:val="20"/>
              </w:rPr>
              <w:t>48.2</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42DE82" w14:textId="77777777" w:rsidR="00031D96" w:rsidRDefault="00000000">
            <w:pPr>
              <w:jc w:val="center"/>
            </w:pPr>
            <w:r>
              <w:rPr>
                <w:sz w:val="20"/>
                <w:szCs w:val="20"/>
              </w:rPr>
              <w:t>61.4</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5F2600" w14:textId="77777777" w:rsidR="00031D96" w:rsidRDefault="00000000">
            <w:pPr>
              <w:jc w:val="center"/>
            </w:pPr>
            <w:r>
              <w:rPr>
                <w:sz w:val="20"/>
                <w:szCs w:val="20"/>
              </w:rPr>
              <w:t>100.8</w:t>
            </w:r>
          </w:p>
        </w:tc>
      </w:tr>
      <w:tr w:rsidR="00031D96" w14:paraId="5D04B06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D3D93" w14:textId="77777777" w:rsidR="00031D96" w:rsidRDefault="00000000">
            <w:pPr>
              <w:jc w:val="center"/>
            </w:pPr>
            <w:r>
              <w:rPr>
                <w:sz w:val="20"/>
                <w:szCs w:val="20"/>
              </w:rPr>
              <w:t>Carga hipóxica</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FFEF1F" w14:textId="77777777" w:rsidR="00031D96" w:rsidRDefault="00000000">
            <w:pPr>
              <w:jc w:val="center"/>
            </w:pPr>
            <w:r>
              <w:rPr>
                <w:sz w:val="20"/>
                <w:szCs w:val="20"/>
              </w:rPr>
              <w:t>10.7</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852D03" w14:textId="77777777" w:rsidR="00031D96" w:rsidRDefault="00000000">
            <w:pPr>
              <w:jc w:val="center"/>
            </w:pPr>
            <w:r>
              <w:rPr>
                <w:sz w:val="20"/>
                <w:szCs w:val="20"/>
              </w:rPr>
              <w:t>45.0</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1CA123" w14:textId="77777777" w:rsidR="00031D96" w:rsidRDefault="00000000">
            <w:pPr>
              <w:jc w:val="center"/>
            </w:pPr>
            <w:r>
              <w:rPr>
                <w:sz w:val="20"/>
                <w:szCs w:val="20"/>
              </w:rPr>
              <w:t>421.6</w:t>
            </w:r>
          </w:p>
        </w:tc>
        <w:tc>
          <w:tcPr>
            <w:tcW w:w="1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E7569" w14:textId="77777777" w:rsidR="00031D96" w:rsidRDefault="00000000">
            <w:pPr>
              <w:jc w:val="center"/>
            </w:pPr>
            <w:r>
              <w:rPr>
                <w:sz w:val="20"/>
                <w:szCs w:val="20"/>
              </w:rPr>
              <w:t>0.0</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CB11BE" w14:textId="77777777" w:rsidR="00031D96" w:rsidRDefault="00000000">
            <w:pPr>
              <w:jc w:val="center"/>
            </w:pPr>
            <w:r>
              <w:rPr>
                <w:sz w:val="20"/>
                <w:szCs w:val="20"/>
              </w:rPr>
              <w:t>3.7</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745C45" w14:textId="77777777" w:rsidR="00031D96" w:rsidRDefault="00000000">
            <w:pPr>
              <w:jc w:val="center"/>
            </w:pPr>
            <w:r>
              <w:rPr>
                <w:sz w:val="20"/>
                <w:szCs w:val="20"/>
              </w:rPr>
              <w:t>627.4</w:t>
            </w:r>
          </w:p>
        </w:tc>
      </w:tr>
    </w:tbl>
    <w:p w14:paraId="17EFA068" w14:textId="77777777" w:rsidR="00031D96" w:rsidRDefault="00000000">
      <w:pPr>
        <w:spacing w:after="200" w:line="276" w:lineRule="auto"/>
        <w:jc w:val="both"/>
      </w:pPr>
      <w:r>
        <w:rPr>
          <w:i/>
          <w:iCs/>
          <w:sz w:val="18"/>
          <w:szCs w:val="18"/>
        </w:rPr>
        <w:t>ODI: índice de desaturación de oxígeno; T90: fracción de tiempo con SpO₂&lt;90%; DE: desviación estándar; CV: coeficiente de variación; P50: mediana.</w:t>
      </w:r>
    </w:p>
    <w:p w14:paraId="5EE97279" w14:textId="77777777" w:rsidR="00031D96" w:rsidRDefault="00000000">
      <w:pPr>
        <w:pStyle w:val="Ttulo2"/>
      </w:pPr>
      <w:r>
        <w:t>3.2 Validación interna y estabilidad multi-noche</w:t>
      </w:r>
    </w:p>
    <w:p w14:paraId="3CD96ABE" w14:textId="77777777" w:rsidR="00031D96" w:rsidRDefault="00000000">
      <w:pPr>
        <w:pStyle w:val="Ttulo3"/>
      </w:pPr>
      <w:r>
        <w:t>Consistencia interna</w:t>
      </w:r>
    </w:p>
    <w:p w14:paraId="7BE0CC3E" w14:textId="77777777" w:rsidR="00031D96" w:rsidRDefault="00000000">
      <w:pPr>
        <w:spacing w:after="140" w:line="276" w:lineRule="auto"/>
        <w:jc w:val="both"/>
      </w:pPr>
      <w:r>
        <w:t>El ODI3 calculado a partir de los eventos individuales mostró concordancia prácticamente perfecta con el ODI3 agregado a nivel de noche (correlación ≈1, diferencia media ≈0 ev/h), confirmando la coherencia interna del pipeline de procesamiento y la consistencia entre niveles de agregación.</w:t>
      </w:r>
    </w:p>
    <w:p w14:paraId="7A0862D4" w14:textId="77777777" w:rsidR="00031D96" w:rsidRDefault="00000000">
      <w:pPr>
        <w:pStyle w:val="Ttulo3"/>
      </w:pPr>
      <w:r>
        <w:t>Variabilidad noche a noche</w:t>
      </w:r>
    </w:p>
    <w:p w14:paraId="2EC4460B" w14:textId="77777777" w:rsidR="00031D96" w:rsidRDefault="00000000">
      <w:pPr>
        <w:spacing w:after="140" w:line="276" w:lineRule="auto"/>
        <w:jc w:val="both"/>
      </w:pPr>
      <w:r>
        <w:t>El análisis intraindividual mostró un CV del ODI3 de 27–33%, consistente con la variabilidad fisiológica documentada para el AHI en registros no supervisados</w:t>
      </w:r>
      <w:r>
        <w:rPr>
          <w:sz w:val="18"/>
          <w:szCs w:val="18"/>
          <w:vertAlign w:val="superscript"/>
        </w:rPr>
        <w:t>[8,9]</w:t>
      </w:r>
      <w:r>
        <w:t>. Esta variabilidad no corresponde a ruido de medición sino a fluctuaciones biológicas reales entre noches.</w:t>
      </w:r>
    </w:p>
    <w:p w14:paraId="3ABFE48B" w14:textId="77777777" w:rsidR="00031D96" w:rsidRDefault="00000000">
      <w:pPr>
        <w:pStyle w:val="Ttulo3"/>
      </w:pPr>
      <w:r>
        <w:t>Reproducibilidad: ICC y Bland–Altman</w:t>
      </w:r>
    </w:p>
    <w:p w14:paraId="6EAF8C73" w14:textId="77777777" w:rsidR="00031D96" w:rsidRDefault="00000000">
      <w:pPr>
        <w:spacing w:after="140" w:line="276" w:lineRule="auto"/>
        <w:jc w:val="both"/>
      </w:pPr>
      <w:r>
        <w:lastRenderedPageBreak/>
        <w:t>El ICC(1,1) fue de ≈0.70 para una sola noche y de ≈0.99 para el promedio multi-noche, evidenciando mejora sustancial de la estabilidad con la agregación. El análisis de Bland–Altman mostró ausencia de sesgo sistemático, con límites de concordancia de ±11.8 ev/h, indicando que una noche individual puede diferir significativamente del perfil longitudinal del paciente.</w:t>
      </w:r>
    </w:p>
    <w:p w14:paraId="5FABFD74" w14:textId="77777777" w:rsidR="00031D96" w:rsidRDefault="00000000">
      <w:pPr>
        <w:pStyle w:val="Ttulo3"/>
      </w:pPr>
      <w:r>
        <w:t>Estabilización multi-noche (bootstrap)</w:t>
      </w:r>
    </w:p>
    <w:p w14:paraId="642737B6" w14:textId="77777777" w:rsidR="00031D96" w:rsidRDefault="00000000">
      <w:pPr>
        <w:spacing w:after="120" w:line="276" w:lineRule="auto"/>
        <w:jc w:val="both"/>
      </w:pPr>
      <w:r>
        <w:t>El análisis de estabilización en pacientes con ≥14 noches válidas (n=7) mostró reducción progresiva del error absoluto medio (MAE) con la agregación: 5.37 ev/h (1 noche), 2.73 (3 noches), 2.03 (5 noches) y 0.85 ev/h (14 noches). La concordancia en la clasificación por severidad alcanzó el 100% (mediana) a partir de 3 noches. Estos resultados respaldan el monitoreo multi-noche como estrategia de caracterización robusta en entorno domiciliario. La Tabla 2 resume los indicadores de estabilización.</w:t>
      </w:r>
    </w:p>
    <w:p w14:paraId="4F912286" w14:textId="77777777" w:rsidR="00031D96" w:rsidRDefault="00000000">
      <w:pPr>
        <w:spacing w:before="80" w:after="80"/>
      </w:pPr>
      <w:r>
        <w:rPr>
          <w:b/>
          <w:bCs/>
          <w:sz w:val="20"/>
          <w:szCs w:val="20"/>
        </w:rPr>
        <w:t xml:space="preserve">Tabla 2. </w:t>
      </w:r>
      <w:r>
        <w:rPr>
          <w:sz w:val="20"/>
          <w:szCs w:val="20"/>
        </w:rPr>
        <w:t>Estabilización multi-noche del ODI3 (simulación bootstrap, pacientes con ≥14 noches).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000"/>
        <w:gridCol w:w="1726"/>
        <w:gridCol w:w="1500"/>
      </w:tblGrid>
      <w:tr w:rsidR="00031D96" w14:paraId="235E89C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DE64D9E" w14:textId="77777777" w:rsidR="00031D96" w:rsidRDefault="00000000">
            <w:pPr>
              <w:jc w:val="center"/>
            </w:pPr>
            <w:r>
              <w:rPr>
                <w:b/>
                <w:bCs/>
                <w:color w:val="FFFFFF"/>
                <w:sz w:val="20"/>
                <w:szCs w:val="20"/>
              </w:rPr>
              <w:t>N° noches</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73C5F31" w14:textId="77777777" w:rsidR="00031D96" w:rsidRDefault="00000000">
            <w:pPr>
              <w:jc w:val="center"/>
            </w:pPr>
            <w:r>
              <w:rPr>
                <w:b/>
                <w:bCs/>
                <w:color w:val="FFFFFF"/>
                <w:sz w:val="20"/>
                <w:szCs w:val="20"/>
              </w:rPr>
              <w:t>MAE (ev/h)</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21CCEDD" w14:textId="77777777" w:rsidR="00031D96" w:rsidRDefault="00000000">
            <w:pPr>
              <w:jc w:val="center"/>
            </w:pPr>
            <w:r>
              <w:rPr>
                <w:b/>
                <w:bCs/>
                <w:color w:val="FFFFFF"/>
                <w:sz w:val="20"/>
                <w:szCs w:val="20"/>
              </w:rPr>
              <w:t>Correlación (ρ)</w:t>
            </w:r>
          </w:p>
        </w:tc>
        <w:tc>
          <w:tcPr>
            <w:tcW w:w="17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638DBFC" w14:textId="77777777" w:rsidR="00031D96" w:rsidRDefault="00000000">
            <w:pPr>
              <w:jc w:val="center"/>
            </w:pPr>
            <w:r>
              <w:rPr>
                <w:b/>
                <w:bCs/>
                <w:color w:val="FFFFFF"/>
                <w:sz w:val="20"/>
                <w:szCs w:val="20"/>
              </w:rPr>
              <w:t>ICC</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E5C3B5F" w14:textId="77777777" w:rsidR="00031D96" w:rsidRDefault="00000000">
            <w:pPr>
              <w:jc w:val="center"/>
            </w:pPr>
            <w:r>
              <w:rPr>
                <w:b/>
                <w:bCs/>
                <w:color w:val="FFFFFF"/>
                <w:sz w:val="20"/>
                <w:szCs w:val="20"/>
              </w:rPr>
              <w:t>Concord. categ.</w:t>
            </w:r>
          </w:p>
        </w:tc>
      </w:tr>
      <w:tr w:rsidR="00031D96" w14:paraId="49F1772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D837BC" w14:textId="77777777" w:rsidR="00031D96" w:rsidRDefault="00000000">
            <w:pPr>
              <w:jc w:val="center"/>
            </w:pPr>
            <w:r>
              <w:rPr>
                <w:sz w:val="20"/>
                <w:szCs w:val="20"/>
              </w:rPr>
              <w:t>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DF1A17" w14:textId="77777777" w:rsidR="00031D96" w:rsidRDefault="00000000">
            <w:pPr>
              <w:jc w:val="center"/>
            </w:pPr>
            <w:r>
              <w:rPr>
                <w:sz w:val="20"/>
                <w:szCs w:val="20"/>
              </w:rPr>
              <w:t>5.37</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8A252" w14:textId="77777777" w:rsidR="00031D96" w:rsidRDefault="00000000">
            <w:pPr>
              <w:jc w:val="center"/>
            </w:pPr>
            <w:r>
              <w:rPr>
                <w:sz w:val="20"/>
                <w:szCs w:val="20"/>
              </w:rPr>
              <w:t>≈0.97</w:t>
            </w:r>
          </w:p>
        </w:tc>
        <w:tc>
          <w:tcPr>
            <w:tcW w:w="1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7805F2" w14:textId="77777777" w:rsidR="00031D96" w:rsidRDefault="00000000">
            <w:pPr>
              <w:jc w:val="center"/>
            </w:pPr>
            <w:r>
              <w:rPr>
                <w:sz w:val="20"/>
                <w:szCs w:val="20"/>
              </w:rPr>
              <w:t>0.70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8ECCE" w14:textId="77777777" w:rsidR="00031D96" w:rsidRDefault="00000000">
            <w:pPr>
              <w:jc w:val="center"/>
            </w:pPr>
            <w:r>
              <w:rPr>
                <w:sz w:val="20"/>
                <w:szCs w:val="20"/>
              </w:rPr>
              <w:t>≈75%</w:t>
            </w:r>
          </w:p>
        </w:tc>
      </w:tr>
      <w:tr w:rsidR="00031D96" w14:paraId="6AC1C23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74BE40" w14:textId="77777777" w:rsidR="00031D96" w:rsidRDefault="00000000">
            <w:pPr>
              <w:jc w:val="center"/>
            </w:pPr>
            <w:r>
              <w:rPr>
                <w:sz w:val="20"/>
                <w:szCs w:val="2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B38819" w14:textId="77777777" w:rsidR="00031D96" w:rsidRDefault="00000000">
            <w:pPr>
              <w:jc w:val="center"/>
            </w:pPr>
            <w:r>
              <w:rPr>
                <w:sz w:val="20"/>
                <w:szCs w:val="20"/>
              </w:rPr>
              <w:t>2.73</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7901AC" w14:textId="77777777" w:rsidR="00031D96" w:rsidRDefault="00000000">
            <w:pPr>
              <w:jc w:val="center"/>
            </w:pPr>
            <w:r>
              <w:rPr>
                <w:sz w:val="20"/>
                <w:szCs w:val="20"/>
              </w:rPr>
              <w:t>≈0.99</w:t>
            </w:r>
          </w:p>
        </w:tc>
        <w:tc>
          <w:tcPr>
            <w:tcW w:w="1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41EE1D" w14:textId="77777777" w:rsidR="00031D96" w:rsidRDefault="00000000">
            <w:pPr>
              <w:jc w:val="center"/>
            </w:pPr>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58A514" w14:textId="77777777" w:rsidR="00031D96" w:rsidRDefault="00000000">
            <w:pPr>
              <w:jc w:val="center"/>
            </w:pPr>
            <w:r>
              <w:rPr>
                <w:sz w:val="20"/>
                <w:szCs w:val="20"/>
              </w:rPr>
              <w:t>100%</w:t>
            </w:r>
          </w:p>
        </w:tc>
      </w:tr>
      <w:tr w:rsidR="00031D96" w14:paraId="1579E4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456D10" w14:textId="77777777" w:rsidR="00031D96" w:rsidRDefault="00000000">
            <w:pPr>
              <w:jc w:val="center"/>
            </w:pPr>
            <w:r>
              <w:rPr>
                <w:sz w:val="20"/>
                <w:szCs w:val="20"/>
              </w:rPr>
              <w:t>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5BC8E" w14:textId="77777777" w:rsidR="00031D96" w:rsidRDefault="00000000">
            <w:pPr>
              <w:jc w:val="center"/>
            </w:pPr>
            <w:r>
              <w:rPr>
                <w:sz w:val="20"/>
                <w:szCs w:val="20"/>
              </w:rPr>
              <w:t>2.03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CF60D6" w14:textId="77777777" w:rsidR="00031D96" w:rsidRDefault="00000000">
            <w:pPr>
              <w:jc w:val="center"/>
            </w:pPr>
            <w:r>
              <w:rPr>
                <w:sz w:val="20"/>
                <w:szCs w:val="20"/>
              </w:rPr>
              <w:t>≈0.99</w:t>
            </w:r>
          </w:p>
        </w:tc>
        <w:tc>
          <w:tcPr>
            <w:tcW w:w="1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2D5FF" w14:textId="77777777" w:rsidR="00031D96" w:rsidRDefault="00000000">
            <w:pPr>
              <w:jc w:val="center"/>
            </w:pPr>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872D4" w14:textId="77777777" w:rsidR="00031D96" w:rsidRDefault="00000000">
            <w:pPr>
              <w:jc w:val="center"/>
            </w:pPr>
            <w:r>
              <w:rPr>
                <w:sz w:val="20"/>
                <w:szCs w:val="20"/>
              </w:rPr>
              <w:t>100%</w:t>
            </w:r>
          </w:p>
        </w:tc>
      </w:tr>
      <w:tr w:rsidR="00031D96" w14:paraId="065FB60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4629B3" w14:textId="77777777" w:rsidR="00031D96" w:rsidRDefault="00000000">
            <w:pPr>
              <w:jc w:val="center"/>
            </w:pPr>
            <w:r>
              <w:rPr>
                <w:sz w:val="20"/>
                <w:szCs w:val="20"/>
              </w:rPr>
              <w:t>14</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BA66A3" w14:textId="77777777" w:rsidR="00031D96" w:rsidRDefault="00000000">
            <w:pPr>
              <w:jc w:val="center"/>
            </w:pPr>
            <w:r>
              <w:rPr>
                <w:sz w:val="20"/>
                <w:szCs w:val="20"/>
              </w:rPr>
              <w:t>0.85</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002DF1" w14:textId="77777777" w:rsidR="00031D96" w:rsidRDefault="00000000">
            <w:pPr>
              <w:jc w:val="center"/>
            </w:pPr>
            <w:r>
              <w:rPr>
                <w:sz w:val="20"/>
                <w:szCs w:val="20"/>
              </w:rPr>
              <w:t>≈1.00</w:t>
            </w:r>
          </w:p>
        </w:tc>
        <w:tc>
          <w:tcPr>
            <w:tcW w:w="1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EF5DA7" w14:textId="77777777" w:rsidR="00031D96" w:rsidRDefault="00000000">
            <w:pPr>
              <w:jc w:val="center"/>
            </w:pPr>
            <w:r>
              <w:rPr>
                <w:sz w:val="20"/>
                <w:szCs w:val="20"/>
              </w:rPr>
              <w:t>0.99</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E8A71B" w14:textId="77777777" w:rsidR="00031D96" w:rsidRDefault="00000000">
            <w:pPr>
              <w:jc w:val="center"/>
            </w:pPr>
            <w:r>
              <w:rPr>
                <w:sz w:val="20"/>
                <w:szCs w:val="20"/>
              </w:rPr>
              <w:t>100%</w:t>
            </w:r>
          </w:p>
        </w:tc>
      </w:tr>
    </w:tbl>
    <w:p w14:paraId="20D76172" w14:textId="77777777" w:rsidR="00031D96" w:rsidRDefault="00000000">
      <w:pPr>
        <w:spacing w:after="200" w:line="276" w:lineRule="auto"/>
        <w:jc w:val="both"/>
      </w:pPr>
      <w:r>
        <w:rPr>
          <w:i/>
          <w:iCs/>
          <w:sz w:val="18"/>
          <w:szCs w:val="18"/>
        </w:rPr>
        <w:t>MAE: error absoluto medio respecto a la referencia interna (promedio multi-noche del paciente).</w:t>
      </w:r>
    </w:p>
    <w:p w14:paraId="01C214A8" w14:textId="77777777" w:rsidR="00031D96" w:rsidRDefault="00000000">
      <w:pPr>
        <w:pStyle w:val="Ttulo2"/>
      </w:pPr>
      <w:r>
        <w:t>3.3 Estructura morfológica de bajo dimensión</w:t>
      </w:r>
    </w:p>
    <w:p w14:paraId="0D9F1407" w14:textId="77777777" w:rsidR="00031D96" w:rsidRDefault="00000000">
      <w:pPr>
        <w:spacing w:after="160" w:line="276" w:lineRule="auto"/>
        <w:jc w:val="both"/>
      </w:pPr>
      <w:r>
        <w:t xml:space="preserve">El PCA sobre la matriz de curvas normalizadas (85.277 × 30) mostró que los primeros tres componentes explican el </w:t>
      </w:r>
      <w:r>
        <w:rPr>
          <w:b/>
          <w:bCs/>
        </w:rPr>
        <w:t>83.9% de la varianza total</w:t>
      </w:r>
      <w:r>
        <w:t>. El CP1 captura la profundidad de la desaturación (carga total de SpO₂ perdida), el CP2 la asimetría entre la fase de caída y la de recuperación, y el CP3 la ubicación temporal del nadir dentro del evento. Esta estructura de baja dimensionalidad confirma que la morfología de los EDOs no es aleatoria sino que se organiza en ejes fisiológicos interpretables, habilitando su clasificación sistemática.</w:t>
      </w:r>
    </w:p>
    <w:p w14:paraId="2ACFFD5B" w14:textId="77777777" w:rsidR="00031D96" w:rsidRDefault="00000000">
      <w:pPr>
        <w:pStyle w:val="Ttulo2"/>
      </w:pPr>
      <w:r>
        <w:t>3.4 Fenotipos morfológicos (C1–C5)</w:t>
      </w:r>
    </w:p>
    <w:p w14:paraId="08374801" w14:textId="77777777" w:rsidR="00031D96" w:rsidRDefault="00000000">
      <w:pPr>
        <w:spacing w:after="120" w:line="276" w:lineRule="auto"/>
        <w:jc w:val="both"/>
      </w:pPr>
      <w:r>
        <w:t>El clustering K-means identificó cinco fenotipos morfológicos con características distintas en profundidad, dinámica temporal y frecuencia relativa. La Tabla 3 resume las propiedades de los clusters y la Figura 1 (ver Material Complementario) muestra las curvas promedio.</w:t>
      </w:r>
    </w:p>
    <w:p w14:paraId="4BD20DD4" w14:textId="77777777" w:rsidR="00031D96" w:rsidRDefault="00000000">
      <w:pPr>
        <w:spacing w:before="80" w:after="80"/>
      </w:pPr>
      <w:r>
        <w:rPr>
          <w:b/>
          <w:bCs/>
          <w:sz w:val="20"/>
          <w:szCs w:val="20"/>
        </w:rPr>
        <w:t xml:space="preserve">Tabla 3. </w:t>
      </w:r>
      <w:r>
        <w:rPr>
          <w:sz w:val="20"/>
          <w:szCs w:val="20"/>
        </w:rPr>
        <w:t>Características de los cinco morfotipos de EDOs (85.277 eventos quality).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5"/>
        <w:gridCol w:w="1493"/>
        <w:gridCol w:w="1483"/>
        <w:gridCol w:w="1497"/>
        <w:gridCol w:w="1565"/>
        <w:gridCol w:w="1613"/>
      </w:tblGrid>
      <w:tr w:rsidR="00031D96" w14:paraId="2507C0B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4695216" w14:textId="77777777" w:rsidR="00031D96" w:rsidRDefault="00000000">
            <w:pPr>
              <w:jc w:val="center"/>
            </w:pPr>
            <w:r>
              <w:rPr>
                <w:b/>
                <w:bCs/>
                <w:color w:val="FFFFFF"/>
                <w:sz w:val="20"/>
                <w:szCs w:val="20"/>
              </w:rPr>
              <w:t>Cluster</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77EE830" w14:textId="77777777" w:rsidR="00031D96" w:rsidRDefault="00000000">
            <w:pPr>
              <w:jc w:val="center"/>
            </w:pPr>
            <w:r>
              <w:rPr>
                <w:b/>
                <w:bCs/>
                <w:color w:val="FFFFFF"/>
                <w:sz w:val="20"/>
                <w:szCs w:val="20"/>
              </w:rPr>
              <w:t>n (% total)</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A9E5D3F" w14:textId="77777777" w:rsidR="00031D96" w:rsidRDefault="00000000">
            <w:pPr>
              <w:jc w:val="center"/>
            </w:pPr>
            <w:r>
              <w:rPr>
                <w:b/>
                <w:bCs/>
                <w:color w:val="FFFFFF"/>
                <w:sz w:val="20"/>
                <w:szCs w:val="20"/>
              </w:rPr>
              <w:t>Nadir ΔSpO₂ (pp)</w:t>
            </w:r>
          </w:p>
        </w:tc>
        <w:tc>
          <w:tcPr>
            <w:tcW w:w="16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86BEB43" w14:textId="77777777" w:rsidR="00031D96" w:rsidRDefault="00000000">
            <w:pPr>
              <w:jc w:val="center"/>
            </w:pPr>
            <w:r>
              <w:rPr>
                <w:b/>
                <w:bCs/>
                <w:color w:val="FFFFFF"/>
                <w:sz w:val="20"/>
                <w:szCs w:val="20"/>
              </w:rPr>
              <w:t>ICC inter-noche</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F2D5E14" w14:textId="77777777" w:rsidR="00031D96" w:rsidRDefault="00000000">
            <w:pPr>
              <w:jc w:val="center"/>
            </w:pPr>
            <w:r>
              <w:rPr>
                <w:b/>
                <w:bCs/>
                <w:color w:val="FFFFFF"/>
                <w:sz w:val="20"/>
                <w:szCs w:val="20"/>
              </w:rPr>
              <w:t>Descripción</w:t>
            </w:r>
          </w:p>
        </w:tc>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A7EFEF4" w14:textId="77777777" w:rsidR="00031D96" w:rsidRDefault="00000000">
            <w:pPr>
              <w:jc w:val="center"/>
            </w:pPr>
            <w:r>
              <w:rPr>
                <w:b/>
                <w:bCs/>
                <w:color w:val="FFFFFF"/>
                <w:sz w:val="20"/>
                <w:szCs w:val="20"/>
              </w:rPr>
              <w:t>Categoría</w:t>
            </w:r>
          </w:p>
        </w:tc>
      </w:tr>
      <w:tr w:rsidR="00031D96" w14:paraId="53D130C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79F44B" w14:textId="77777777" w:rsidR="00031D96" w:rsidRDefault="00000000">
            <w:pPr>
              <w:jc w:val="center"/>
            </w:pPr>
            <w:r>
              <w:rPr>
                <w:sz w:val="20"/>
                <w:szCs w:val="20"/>
              </w:rPr>
              <w:t>C1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DAEB9" w14:textId="77777777" w:rsidR="00031D96" w:rsidRDefault="00000000">
            <w:pPr>
              <w:jc w:val="center"/>
            </w:pPr>
            <w:r>
              <w:rPr>
                <w:sz w:val="20"/>
                <w:szCs w:val="20"/>
              </w:rPr>
              <w:t>55.175 (64.7%)</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4C201" w14:textId="77777777" w:rsidR="00031D96" w:rsidRDefault="00000000">
            <w:pPr>
              <w:jc w:val="center"/>
            </w:pPr>
            <w:r>
              <w:rPr>
                <w:sz w:val="20"/>
                <w:szCs w:val="20"/>
              </w:rPr>
              <w:t>−1.7</w:t>
            </w:r>
          </w:p>
        </w:tc>
        <w:tc>
          <w:tcPr>
            <w:tcW w:w="1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36F30" w14:textId="77777777" w:rsidR="00031D96" w:rsidRDefault="00000000">
            <w:pPr>
              <w:jc w:val="center"/>
            </w:pPr>
            <w:r>
              <w:rPr>
                <w:sz w:val="20"/>
                <w:szCs w:val="20"/>
              </w:rPr>
              <w:t>0.601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5D6192" w14:textId="77777777" w:rsidR="00031D96" w:rsidRDefault="00000000">
            <w:pPr>
              <w:jc w:val="center"/>
            </w:pPr>
            <w:r>
              <w:rPr>
                <w:sz w:val="20"/>
                <w:szCs w:val="20"/>
              </w:rPr>
              <w:t>Basal subcrítico</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515C7" w14:textId="77777777" w:rsidR="00031D96" w:rsidRDefault="00000000">
            <w:pPr>
              <w:jc w:val="center"/>
            </w:pPr>
            <w:r>
              <w:rPr>
                <w:sz w:val="20"/>
                <w:szCs w:val="20"/>
              </w:rPr>
              <w:t>Bajo</w:t>
            </w:r>
          </w:p>
        </w:tc>
      </w:tr>
      <w:tr w:rsidR="00031D96" w14:paraId="7EC3AA4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4A53E9" w14:textId="77777777" w:rsidR="00031D96" w:rsidRDefault="00000000">
            <w:pPr>
              <w:jc w:val="center"/>
            </w:pPr>
            <w:r>
              <w:rPr>
                <w:sz w:val="20"/>
                <w:szCs w:val="20"/>
              </w:rPr>
              <w:lastRenderedPageBreak/>
              <w:t>C2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81DBE7" w14:textId="77777777" w:rsidR="00031D96" w:rsidRDefault="00000000">
            <w:pPr>
              <w:jc w:val="center"/>
            </w:pPr>
            <w:r>
              <w:rPr>
                <w:sz w:val="20"/>
                <w:szCs w:val="20"/>
              </w:rPr>
              <w:t>21.318 (25.0%)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DDE09E" w14:textId="77777777" w:rsidR="00031D96" w:rsidRDefault="00000000">
            <w:pPr>
              <w:jc w:val="center"/>
            </w:pPr>
            <w:r>
              <w:rPr>
                <w:sz w:val="20"/>
                <w:szCs w:val="20"/>
              </w:rPr>
              <w:t>−3.8</w:t>
            </w:r>
          </w:p>
        </w:tc>
        <w:tc>
          <w:tcPr>
            <w:tcW w:w="1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FEF3F9" w14:textId="77777777" w:rsidR="00031D96" w:rsidRDefault="00000000">
            <w:pPr>
              <w:jc w:val="center"/>
            </w:pPr>
            <w:r>
              <w:rPr>
                <w:sz w:val="20"/>
                <w:szCs w:val="20"/>
              </w:rPr>
              <w:t>0.682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E28AD9" w14:textId="77777777" w:rsidR="00031D96" w:rsidRDefault="00000000">
            <w:pPr>
              <w:jc w:val="center"/>
            </w:pPr>
            <w:r>
              <w:rPr>
                <w:sz w:val="20"/>
                <w:szCs w:val="20"/>
              </w:rPr>
              <w:t>Leve a moderado</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F5762E" w14:textId="77777777" w:rsidR="00031D96" w:rsidRDefault="00000000">
            <w:pPr>
              <w:jc w:val="center"/>
            </w:pPr>
            <w:r>
              <w:rPr>
                <w:sz w:val="20"/>
                <w:szCs w:val="20"/>
              </w:rPr>
              <w:t>Bajo</w:t>
            </w:r>
          </w:p>
        </w:tc>
      </w:tr>
      <w:tr w:rsidR="00031D96" w14:paraId="696667C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67A73B" w14:textId="77777777" w:rsidR="00031D96" w:rsidRDefault="00000000">
            <w:pPr>
              <w:jc w:val="center"/>
            </w:pPr>
            <w:r>
              <w:rPr>
                <w:sz w:val="20"/>
                <w:szCs w:val="20"/>
              </w:rPr>
              <w:t>C3</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8742A6" w14:textId="77777777" w:rsidR="00031D96" w:rsidRDefault="00000000">
            <w:pPr>
              <w:jc w:val="center"/>
            </w:pPr>
            <w:r>
              <w:rPr>
                <w:sz w:val="20"/>
                <w:szCs w:val="20"/>
              </w:rPr>
              <w:t>3.662  (4.3%)</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14A755" w14:textId="77777777" w:rsidR="00031D96" w:rsidRDefault="00000000">
            <w:pPr>
              <w:jc w:val="center"/>
            </w:pPr>
            <w:r>
              <w:rPr>
                <w:sz w:val="20"/>
                <w:szCs w:val="20"/>
              </w:rPr>
              <w:t>−7.9</w:t>
            </w:r>
          </w:p>
        </w:tc>
        <w:tc>
          <w:tcPr>
            <w:tcW w:w="1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4373B" w14:textId="77777777" w:rsidR="00031D96" w:rsidRDefault="00000000">
            <w:pPr>
              <w:jc w:val="center"/>
            </w:pPr>
            <w:r>
              <w:rPr>
                <w:sz w:val="20"/>
                <w:szCs w:val="20"/>
              </w:rPr>
              <w:t>0.419</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A7939F" w14:textId="77777777" w:rsidR="00031D96" w:rsidRDefault="00000000">
            <w:pPr>
              <w:jc w:val="center"/>
            </w:pPr>
            <w:r>
              <w:rPr>
                <w:sz w:val="20"/>
                <w:szCs w:val="20"/>
              </w:rPr>
              <w:t>Profundo simétrico</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715A7" w14:textId="77777777" w:rsidR="00031D96" w:rsidRDefault="00000000">
            <w:pPr>
              <w:jc w:val="center"/>
            </w:pPr>
            <w:r>
              <w:rPr>
                <w:sz w:val="20"/>
                <w:szCs w:val="20"/>
              </w:rPr>
              <w:t>Alto</w:t>
            </w:r>
          </w:p>
        </w:tc>
      </w:tr>
      <w:tr w:rsidR="00031D96" w14:paraId="224F3A7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A93643" w14:textId="77777777" w:rsidR="00031D96" w:rsidRDefault="00000000">
            <w:pPr>
              <w:jc w:val="center"/>
            </w:pPr>
            <w:r>
              <w:rPr>
                <w:sz w:val="20"/>
                <w:szCs w:val="20"/>
              </w:rPr>
              <w:t>C4</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35573" w14:textId="77777777" w:rsidR="00031D96" w:rsidRDefault="00000000">
            <w:pPr>
              <w:jc w:val="center"/>
            </w:pPr>
            <w:r>
              <w:rPr>
                <w:sz w:val="20"/>
                <w:szCs w:val="20"/>
              </w:rPr>
              <w:t>4.301  (5.0%)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41DD97" w14:textId="77777777" w:rsidR="00031D96" w:rsidRDefault="00000000">
            <w:pPr>
              <w:jc w:val="center"/>
            </w:pPr>
            <w:r>
              <w:rPr>
                <w:sz w:val="20"/>
                <w:szCs w:val="20"/>
              </w:rPr>
              <w:t>−8.6</w:t>
            </w:r>
          </w:p>
        </w:tc>
        <w:tc>
          <w:tcPr>
            <w:tcW w:w="1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DEC844" w14:textId="77777777" w:rsidR="00031D96" w:rsidRDefault="00000000">
            <w:pPr>
              <w:jc w:val="center"/>
            </w:pPr>
            <w:r>
              <w:rPr>
                <w:sz w:val="20"/>
                <w:szCs w:val="20"/>
              </w:rPr>
              <w:t>0.476</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B5AD73" w14:textId="77777777" w:rsidR="00031D96" w:rsidRDefault="00000000">
            <w:pPr>
              <w:jc w:val="center"/>
            </w:pPr>
            <w:r>
              <w:rPr>
                <w:sz w:val="20"/>
                <w:szCs w:val="20"/>
              </w:rPr>
              <w:t>Profundo tardío</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CBD8F7" w14:textId="77777777" w:rsidR="00031D96" w:rsidRDefault="00000000">
            <w:pPr>
              <w:jc w:val="center"/>
            </w:pPr>
            <w:r>
              <w:rPr>
                <w:sz w:val="20"/>
                <w:szCs w:val="20"/>
              </w:rPr>
              <w:t>Alto</w:t>
            </w:r>
          </w:p>
        </w:tc>
      </w:tr>
      <w:tr w:rsidR="00031D96" w14:paraId="2CAFBA3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20287" w14:textId="77777777" w:rsidR="00031D96" w:rsidRDefault="00000000">
            <w:pPr>
              <w:jc w:val="center"/>
            </w:pPr>
            <w:r>
              <w:rPr>
                <w:sz w:val="20"/>
                <w:szCs w:val="20"/>
              </w:rPr>
              <w:t>C5</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A7CA17" w14:textId="77777777" w:rsidR="00031D96" w:rsidRDefault="00000000">
            <w:pPr>
              <w:jc w:val="center"/>
            </w:pPr>
            <w:r>
              <w:rPr>
                <w:sz w:val="20"/>
                <w:szCs w:val="20"/>
              </w:rPr>
              <w:t>821  (1.0%)</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08E0D" w14:textId="77777777" w:rsidR="00031D96" w:rsidRDefault="00000000">
            <w:pPr>
              <w:jc w:val="center"/>
            </w:pPr>
            <w:r>
              <w:rPr>
                <w:sz w:val="20"/>
                <w:szCs w:val="20"/>
              </w:rPr>
              <w:t>−15.3</w:t>
            </w:r>
          </w:p>
        </w:tc>
        <w:tc>
          <w:tcPr>
            <w:tcW w:w="1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65D51" w14:textId="77777777" w:rsidR="00031D96" w:rsidRDefault="00000000">
            <w:pPr>
              <w:jc w:val="center"/>
            </w:pPr>
            <w:r>
              <w:rPr>
                <w:sz w:val="20"/>
                <w:szCs w:val="20"/>
              </w:rPr>
              <w:t>0.505</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46C90A" w14:textId="77777777" w:rsidR="00031D96" w:rsidRDefault="00000000">
            <w:pPr>
              <w:jc w:val="center"/>
            </w:pPr>
            <w:r>
              <w:rPr>
                <w:sz w:val="20"/>
                <w:szCs w:val="20"/>
              </w:rPr>
              <w:t>Severo prolongado</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9B4B97" w14:textId="77777777" w:rsidR="00031D96" w:rsidRDefault="00000000">
            <w:pPr>
              <w:jc w:val="center"/>
            </w:pPr>
            <w:r>
              <w:rPr>
                <w:sz w:val="20"/>
                <w:szCs w:val="20"/>
              </w:rPr>
              <w:t>Alto</w:t>
            </w:r>
          </w:p>
        </w:tc>
      </w:tr>
      <w:tr w:rsidR="00031D96" w14:paraId="2716117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F0FB"/>
            <w:tcMar>
              <w:top w:w="80" w:type="dxa"/>
              <w:left w:w="120" w:type="dxa"/>
              <w:bottom w:w="80" w:type="dxa"/>
              <w:right w:w="120" w:type="dxa"/>
            </w:tcMar>
          </w:tcPr>
          <w:p w14:paraId="6C87D26E" w14:textId="77777777" w:rsidR="00031D96" w:rsidRDefault="00000000">
            <w:pPr>
              <w:jc w:val="center"/>
            </w:pPr>
            <w:r>
              <w:rPr>
                <w:sz w:val="20"/>
                <w:szCs w:val="20"/>
              </w:rPr>
              <w:t>Alto (C3+C4+C5)</w:t>
            </w:r>
          </w:p>
        </w:tc>
        <w:tc>
          <w:tcPr>
            <w:tcW w:w="1600" w:type="dxa"/>
            <w:tcBorders>
              <w:top w:val="single" w:sz="1" w:space="0" w:color="CCCCCC"/>
              <w:left w:val="single" w:sz="1" w:space="0" w:color="CCCCCC"/>
              <w:bottom w:val="single" w:sz="1" w:space="0" w:color="CCCCCC"/>
              <w:right w:val="single" w:sz="1" w:space="0" w:color="CCCCCC"/>
            </w:tcBorders>
            <w:shd w:val="clear" w:color="auto" w:fill="E8F0FB"/>
            <w:tcMar>
              <w:top w:w="80" w:type="dxa"/>
              <w:left w:w="120" w:type="dxa"/>
              <w:bottom w:w="80" w:type="dxa"/>
              <w:right w:w="120" w:type="dxa"/>
            </w:tcMar>
          </w:tcPr>
          <w:p w14:paraId="31A0A8DE" w14:textId="77777777" w:rsidR="00031D96" w:rsidRDefault="00000000">
            <w:pPr>
              <w:jc w:val="center"/>
            </w:pPr>
            <w:r>
              <w:rPr>
                <w:sz w:val="20"/>
                <w:szCs w:val="20"/>
              </w:rPr>
              <w:t>8.784 (10.3%)</w:t>
            </w:r>
          </w:p>
        </w:tc>
        <w:tc>
          <w:tcPr>
            <w:tcW w:w="1600" w:type="dxa"/>
            <w:tcBorders>
              <w:top w:val="single" w:sz="1" w:space="0" w:color="CCCCCC"/>
              <w:left w:val="single" w:sz="1" w:space="0" w:color="CCCCCC"/>
              <w:bottom w:val="single" w:sz="1" w:space="0" w:color="CCCCCC"/>
              <w:right w:val="single" w:sz="1" w:space="0" w:color="CCCCCC"/>
            </w:tcBorders>
            <w:shd w:val="clear" w:color="auto" w:fill="E8F0FB"/>
            <w:tcMar>
              <w:top w:w="80" w:type="dxa"/>
              <w:left w:w="120" w:type="dxa"/>
              <w:bottom w:w="80" w:type="dxa"/>
              <w:right w:w="120" w:type="dxa"/>
            </w:tcMar>
          </w:tcPr>
          <w:p w14:paraId="7B7B1D7E" w14:textId="77777777" w:rsidR="00031D96" w:rsidRDefault="00000000">
            <w:pPr>
              <w:jc w:val="center"/>
            </w:pPr>
            <w:r>
              <w:rPr>
                <w:sz w:val="20"/>
                <w:szCs w:val="20"/>
              </w:rPr>
              <w:t>—</w:t>
            </w:r>
          </w:p>
        </w:tc>
        <w:tc>
          <w:tcPr>
            <w:tcW w:w="1626" w:type="dxa"/>
            <w:tcBorders>
              <w:top w:val="single" w:sz="1" w:space="0" w:color="CCCCCC"/>
              <w:left w:val="single" w:sz="1" w:space="0" w:color="CCCCCC"/>
              <w:bottom w:val="single" w:sz="1" w:space="0" w:color="CCCCCC"/>
              <w:right w:val="single" w:sz="1" w:space="0" w:color="CCCCCC"/>
            </w:tcBorders>
            <w:shd w:val="clear" w:color="auto" w:fill="E8F0FB"/>
            <w:tcMar>
              <w:top w:w="80" w:type="dxa"/>
              <w:left w:w="120" w:type="dxa"/>
              <w:bottom w:w="80" w:type="dxa"/>
              <w:right w:w="120" w:type="dxa"/>
            </w:tcMar>
          </w:tcPr>
          <w:p w14:paraId="3D276A9A" w14:textId="77777777" w:rsidR="00031D96"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8F0FB"/>
            <w:tcMar>
              <w:top w:w="80" w:type="dxa"/>
              <w:left w:w="120" w:type="dxa"/>
              <w:bottom w:w="80" w:type="dxa"/>
              <w:right w:w="120" w:type="dxa"/>
            </w:tcMar>
          </w:tcPr>
          <w:p w14:paraId="2C316B24" w14:textId="77777777" w:rsidR="00031D96" w:rsidRDefault="00000000">
            <w:pPr>
              <w:jc w:val="center"/>
            </w:pPr>
            <w:r>
              <w:rPr>
                <w:sz w:val="20"/>
                <w:szCs w:val="20"/>
              </w:rPr>
              <w:t>Eventos severos</w:t>
            </w:r>
          </w:p>
        </w:tc>
        <w:tc>
          <w:tcPr>
            <w:tcW w:w="1700" w:type="dxa"/>
            <w:tcBorders>
              <w:top w:val="single" w:sz="1" w:space="0" w:color="CCCCCC"/>
              <w:left w:val="single" w:sz="1" w:space="0" w:color="CCCCCC"/>
              <w:bottom w:val="single" w:sz="1" w:space="0" w:color="CCCCCC"/>
              <w:right w:val="single" w:sz="1" w:space="0" w:color="CCCCCC"/>
            </w:tcBorders>
            <w:shd w:val="clear" w:color="auto" w:fill="E8F0FB"/>
            <w:tcMar>
              <w:top w:w="80" w:type="dxa"/>
              <w:left w:w="120" w:type="dxa"/>
              <w:bottom w:w="80" w:type="dxa"/>
              <w:right w:w="120" w:type="dxa"/>
            </w:tcMar>
          </w:tcPr>
          <w:p w14:paraId="7EE80BB5" w14:textId="77777777" w:rsidR="00031D96" w:rsidRDefault="00000000">
            <w:pPr>
              <w:jc w:val="center"/>
            </w:pPr>
            <w:r>
              <w:rPr>
                <w:sz w:val="20"/>
                <w:szCs w:val="20"/>
              </w:rPr>
              <w:t>—</w:t>
            </w:r>
          </w:p>
        </w:tc>
      </w:tr>
    </w:tbl>
    <w:p w14:paraId="14A90608" w14:textId="77777777" w:rsidR="00031D96" w:rsidRDefault="00000000">
      <w:pPr>
        <w:spacing w:after="200" w:line="276" w:lineRule="auto"/>
        <w:jc w:val="both"/>
      </w:pPr>
      <w:r>
        <w:rPr>
          <w:i/>
          <w:iCs/>
          <w:sz w:val="18"/>
          <w:szCs w:val="18"/>
        </w:rPr>
        <w:t>ICC: coeficiente de correlación intraclase (1,1) inter-noche; pp: puntos porcentuales.</w:t>
      </w:r>
    </w:p>
    <w:p w14:paraId="335927CA" w14:textId="77777777" w:rsidR="00031D96" w:rsidRDefault="00000000">
      <w:pPr>
        <w:spacing w:after="160" w:line="276" w:lineRule="auto"/>
        <w:jc w:val="both"/>
      </w:pPr>
      <w:r>
        <w:t>Cabe destacar que C3 y C4 presentan nadires similares (−7.9 vs. −8.6 pp) pero difieren en la dinámica temporal: C3 es simétrico, con nadir en el 24% del evento, mientras que C4 es asimétrico tardío con nadir en el 72%. Esta distinción morfológica —no capturada por la magnitud de caída— subraya la relevancia del fenotipado basado en la forma completa de la curva.</w:t>
      </w:r>
    </w:p>
    <w:p w14:paraId="7E5843C6" w14:textId="77777777" w:rsidR="00031D96" w:rsidRDefault="00000000">
      <w:pPr>
        <w:pStyle w:val="Ttulo2"/>
      </w:pPr>
      <w:r>
        <w:t>3.5 Perfiles fisiológicos multimodales</w:t>
      </w:r>
    </w:p>
    <w:p w14:paraId="1B2D0981" w14:textId="77777777" w:rsidR="00031D96" w:rsidRDefault="00000000">
      <w:pPr>
        <w:spacing w:after="120" w:line="276" w:lineRule="auto"/>
        <w:jc w:val="both"/>
      </w:pPr>
      <w:r>
        <w:t xml:space="preserve">La integración de señales de FC y movimiento reveló perfiles autonómicos diferenciados entre morfotipos. La ganancia de FC (ΔHR/ΔSpO₂, en lpm/pp) fue decreciente a medida que aumenta la severidad del cluster: C1=0.63, C2=0.53, C3=0.21, C4=0.31, C5=0.04 lpm/pp. Este patrón, resumido en la Tabla 4, indica que los eventos más severos no siempre se acompañan de mayor respuesta autonómica; por el contrario, C5 exhibe una respuesta prácticamente nula —consistente con un fenómeno de </w:t>
      </w:r>
      <w:r>
        <w:rPr>
          <w:i/>
          <w:iCs/>
        </w:rPr>
        <w:t>silencio autonómico</w:t>
      </w:r>
      <w:r>
        <w:t>.</w:t>
      </w:r>
    </w:p>
    <w:p w14:paraId="29D25608" w14:textId="77777777" w:rsidR="00031D96" w:rsidRDefault="00000000">
      <w:pPr>
        <w:spacing w:before="80" w:after="80"/>
      </w:pPr>
      <w:r>
        <w:rPr>
          <w:b/>
          <w:bCs/>
          <w:sz w:val="20"/>
          <w:szCs w:val="20"/>
        </w:rPr>
        <w:t xml:space="preserve">Tabla 4. </w:t>
      </w:r>
      <w:r>
        <w:rPr>
          <w:sz w:val="20"/>
          <w:szCs w:val="20"/>
        </w:rPr>
        <w:t>ARI y ganancia de FC por morfotipo.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
        <w:gridCol w:w="1791"/>
        <w:gridCol w:w="1794"/>
        <w:gridCol w:w="1622"/>
        <w:gridCol w:w="2889"/>
      </w:tblGrid>
      <w:tr w:rsidR="00031D96" w14:paraId="67CD57A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53B4548" w14:textId="77777777" w:rsidR="00031D96" w:rsidRDefault="00000000">
            <w:pPr>
              <w:jc w:val="center"/>
            </w:pPr>
            <w:r>
              <w:rPr>
                <w:b/>
                <w:bCs/>
                <w:color w:val="FFFFFF"/>
                <w:sz w:val="20"/>
                <w:szCs w:val="20"/>
              </w:rPr>
              <w:t>Cluster</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DD7C80" w14:textId="77777777" w:rsidR="00031D96" w:rsidRDefault="00000000">
            <w:pPr>
              <w:jc w:val="center"/>
            </w:pPr>
            <w:r>
              <w:rPr>
                <w:b/>
                <w:bCs/>
                <w:color w:val="FFFFFF"/>
                <w:sz w:val="20"/>
                <w:szCs w:val="20"/>
              </w:rPr>
              <w:t>ARI media ± DE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4FE0DD2" w14:textId="77777777" w:rsidR="00031D96" w:rsidRDefault="00000000">
            <w:pPr>
              <w:jc w:val="center"/>
            </w:pPr>
            <w:r>
              <w:rPr>
                <w:b/>
                <w:bCs/>
                <w:color w:val="FFFFFF"/>
                <w:sz w:val="20"/>
                <w:szCs w:val="20"/>
              </w:rPr>
              <w:t>ARI mediana</w:t>
            </w:r>
          </w:p>
        </w:tc>
        <w:tc>
          <w:tcPr>
            <w:tcW w:w="16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650A87" w14:textId="77777777" w:rsidR="00031D96" w:rsidRDefault="00000000">
            <w:pPr>
              <w:jc w:val="center"/>
            </w:pPr>
            <w:r>
              <w:rPr>
                <w:b/>
                <w:bCs/>
                <w:color w:val="FFFFFF"/>
                <w:sz w:val="20"/>
                <w:szCs w:val="20"/>
              </w:rPr>
              <w:t>Ganancia FC (lpm/pp)</w:t>
            </w:r>
          </w:p>
        </w:tc>
        <w:tc>
          <w:tcPr>
            <w:tcW w:w="2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C51C3B1" w14:textId="77777777" w:rsidR="00031D96" w:rsidRDefault="00000000">
            <w:pPr>
              <w:jc w:val="center"/>
            </w:pPr>
            <w:r>
              <w:rPr>
                <w:b/>
                <w:bCs/>
                <w:color w:val="FFFFFF"/>
                <w:sz w:val="20"/>
                <w:szCs w:val="20"/>
              </w:rPr>
              <w:t>Interpretación autonómica</w:t>
            </w:r>
          </w:p>
        </w:tc>
      </w:tr>
      <w:tr w:rsidR="00031D96" w14:paraId="52F2B0B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A8B9B2" w14:textId="77777777" w:rsidR="00031D96" w:rsidRDefault="00000000">
            <w:pPr>
              <w:jc w:val="center"/>
            </w:pPr>
            <w:r>
              <w:rPr>
                <w:sz w:val="20"/>
                <w:szCs w:val="20"/>
              </w:rPr>
              <w:t>C1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8D08F" w14:textId="77777777" w:rsidR="00031D96" w:rsidRDefault="00000000">
            <w:pPr>
              <w:jc w:val="center"/>
            </w:pPr>
            <w:r>
              <w:rPr>
                <w:sz w:val="20"/>
                <w:szCs w:val="20"/>
              </w:rPr>
              <w:t>0.491 ± 0.205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95D132" w14:textId="77777777" w:rsidR="00031D96" w:rsidRDefault="00000000">
            <w:pPr>
              <w:jc w:val="center"/>
            </w:pPr>
            <w:r>
              <w:rPr>
                <w:sz w:val="20"/>
                <w:szCs w:val="20"/>
              </w:rPr>
              <w:t>0.502</w:t>
            </w:r>
          </w:p>
        </w:tc>
        <w:tc>
          <w:tcPr>
            <w:tcW w:w="1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873D70" w14:textId="77777777" w:rsidR="00031D96" w:rsidRDefault="00000000">
            <w:pPr>
              <w:jc w:val="center"/>
            </w:pPr>
            <w:r>
              <w:rPr>
                <w:sz w:val="20"/>
                <w:szCs w:val="20"/>
              </w:rPr>
              <w:t>0.633</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CB61A" w14:textId="77777777" w:rsidR="00031D96" w:rsidRDefault="00000000">
            <w:pPr>
              <w:jc w:val="center"/>
            </w:pPr>
            <w:r>
              <w:rPr>
                <w:sz w:val="20"/>
                <w:szCs w:val="20"/>
              </w:rPr>
              <w:t>Respuesta proporcional normal</w:t>
            </w:r>
          </w:p>
        </w:tc>
      </w:tr>
      <w:tr w:rsidR="00031D96" w14:paraId="194EC25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71B824" w14:textId="77777777" w:rsidR="00031D96" w:rsidRDefault="00000000">
            <w:pPr>
              <w:jc w:val="center"/>
            </w:pPr>
            <w:r>
              <w:rPr>
                <w:sz w:val="20"/>
                <w:szCs w:val="20"/>
              </w:rPr>
              <w:t>C2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B2133E" w14:textId="77777777" w:rsidR="00031D96" w:rsidRDefault="00000000">
            <w:pPr>
              <w:jc w:val="center"/>
            </w:pPr>
            <w:r>
              <w:rPr>
                <w:sz w:val="20"/>
                <w:szCs w:val="20"/>
              </w:rPr>
              <w:t>0.526 ± 0.185</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992D61" w14:textId="77777777" w:rsidR="00031D96" w:rsidRDefault="00000000">
            <w:pPr>
              <w:jc w:val="center"/>
            </w:pPr>
            <w:r>
              <w:rPr>
                <w:sz w:val="20"/>
                <w:szCs w:val="20"/>
              </w:rPr>
              <w:t>0.522</w:t>
            </w:r>
          </w:p>
        </w:tc>
        <w:tc>
          <w:tcPr>
            <w:tcW w:w="1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6EC5D1" w14:textId="77777777" w:rsidR="00031D96" w:rsidRDefault="00000000">
            <w:pPr>
              <w:jc w:val="center"/>
            </w:pPr>
            <w:r>
              <w:rPr>
                <w:sz w:val="20"/>
                <w:szCs w:val="20"/>
              </w:rPr>
              <w:t>0.528</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A7CC20" w14:textId="77777777" w:rsidR="00031D96" w:rsidRDefault="00000000">
            <w:pPr>
              <w:jc w:val="center"/>
            </w:pPr>
            <w:r>
              <w:rPr>
                <w:sz w:val="20"/>
                <w:szCs w:val="20"/>
              </w:rPr>
              <w:t>Respuesta activa, leve elevada</w:t>
            </w:r>
          </w:p>
        </w:tc>
      </w:tr>
      <w:tr w:rsidR="00031D96" w14:paraId="40CCEEE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834259" w14:textId="77777777" w:rsidR="00031D96" w:rsidRDefault="00000000">
            <w:pPr>
              <w:jc w:val="center"/>
            </w:pPr>
            <w:r>
              <w:rPr>
                <w:sz w:val="20"/>
                <w:szCs w:val="20"/>
              </w:rPr>
              <w:t>C3</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9544FF" w14:textId="77777777" w:rsidR="00031D96" w:rsidRDefault="00000000">
            <w:pPr>
              <w:jc w:val="center"/>
            </w:pPr>
            <w:r>
              <w:rPr>
                <w:sz w:val="20"/>
                <w:szCs w:val="20"/>
              </w:rPr>
              <w:t>0.509 ± 0.146</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84BD70" w14:textId="77777777" w:rsidR="00031D96" w:rsidRDefault="00000000">
            <w:pPr>
              <w:jc w:val="center"/>
            </w:pPr>
            <w:r>
              <w:rPr>
                <w:sz w:val="20"/>
                <w:szCs w:val="20"/>
              </w:rPr>
              <w:t>0.490</w:t>
            </w:r>
          </w:p>
        </w:tc>
        <w:tc>
          <w:tcPr>
            <w:tcW w:w="1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641A26" w14:textId="77777777" w:rsidR="00031D96" w:rsidRDefault="00000000">
            <w:pPr>
              <w:jc w:val="center"/>
            </w:pPr>
            <w:r>
              <w:rPr>
                <w:sz w:val="20"/>
                <w:szCs w:val="20"/>
              </w:rPr>
              <w:t>0.209</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4C00F1" w14:textId="77777777" w:rsidR="00031D96" w:rsidRDefault="00000000">
            <w:pPr>
              <w:jc w:val="center"/>
            </w:pPr>
            <w:r>
              <w:rPr>
                <w:sz w:val="20"/>
                <w:szCs w:val="20"/>
              </w:rPr>
              <w:t>Respuesta atenuada</w:t>
            </w:r>
          </w:p>
        </w:tc>
      </w:tr>
      <w:tr w:rsidR="00031D96" w14:paraId="6BA39F8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F6B79E" w14:textId="77777777" w:rsidR="00031D96" w:rsidRDefault="00000000">
            <w:pPr>
              <w:jc w:val="center"/>
            </w:pPr>
            <w:r>
              <w:rPr>
                <w:sz w:val="20"/>
                <w:szCs w:val="20"/>
              </w:rPr>
              <w:t>C4</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EEE0BE" w14:textId="77777777" w:rsidR="00031D96" w:rsidRDefault="00000000">
            <w:pPr>
              <w:jc w:val="center"/>
            </w:pPr>
            <w:r>
              <w:rPr>
                <w:sz w:val="20"/>
                <w:szCs w:val="20"/>
              </w:rPr>
              <w:t>0.489 ± 0.143</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30C9A4" w14:textId="77777777" w:rsidR="00031D96" w:rsidRDefault="00000000">
            <w:pPr>
              <w:jc w:val="center"/>
            </w:pPr>
            <w:r>
              <w:rPr>
                <w:sz w:val="20"/>
                <w:szCs w:val="20"/>
              </w:rPr>
              <w:t>0.480</w:t>
            </w:r>
          </w:p>
        </w:tc>
        <w:tc>
          <w:tcPr>
            <w:tcW w:w="1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B472A5" w14:textId="77777777" w:rsidR="00031D96" w:rsidRDefault="00000000">
            <w:pPr>
              <w:jc w:val="center"/>
            </w:pPr>
            <w:r>
              <w:rPr>
                <w:sz w:val="20"/>
                <w:szCs w:val="20"/>
              </w:rPr>
              <w:t>0.307</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9EE427" w14:textId="77777777" w:rsidR="00031D96" w:rsidRDefault="00000000">
            <w:pPr>
              <w:jc w:val="center"/>
            </w:pPr>
            <w:r>
              <w:rPr>
                <w:sz w:val="20"/>
                <w:szCs w:val="20"/>
              </w:rPr>
              <w:t>Respuesta reducida</w:t>
            </w:r>
          </w:p>
        </w:tc>
      </w:tr>
      <w:tr w:rsidR="00031D96" w14:paraId="2D8E449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D004B" w14:textId="77777777" w:rsidR="00031D96" w:rsidRDefault="00000000">
            <w:pPr>
              <w:jc w:val="center"/>
            </w:pPr>
            <w:r>
              <w:rPr>
                <w:sz w:val="20"/>
                <w:szCs w:val="20"/>
              </w:rPr>
              <w:t>C5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714B3B" w14:textId="77777777" w:rsidR="00031D96" w:rsidRDefault="00000000">
            <w:pPr>
              <w:jc w:val="center"/>
            </w:pPr>
            <w:r>
              <w:rPr>
                <w:sz w:val="20"/>
                <w:szCs w:val="20"/>
              </w:rPr>
              <w:t>0.422 ± 0.105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601EBB" w14:textId="77777777" w:rsidR="00031D96" w:rsidRDefault="00000000">
            <w:pPr>
              <w:jc w:val="center"/>
            </w:pPr>
            <w:r>
              <w:rPr>
                <w:sz w:val="20"/>
                <w:szCs w:val="20"/>
              </w:rPr>
              <w:t>0.431</w:t>
            </w:r>
          </w:p>
        </w:tc>
        <w:tc>
          <w:tcPr>
            <w:tcW w:w="1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87AEFE" w14:textId="77777777" w:rsidR="00031D96" w:rsidRDefault="00000000">
            <w:pPr>
              <w:jc w:val="center"/>
            </w:pPr>
            <w:r>
              <w:rPr>
                <w:sz w:val="20"/>
                <w:szCs w:val="20"/>
              </w:rPr>
              <w:t>0.040</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135EB" w14:textId="77777777" w:rsidR="00031D96" w:rsidRDefault="00000000">
            <w:pPr>
              <w:jc w:val="center"/>
            </w:pPr>
            <w:r>
              <w:rPr>
                <w:sz w:val="20"/>
                <w:szCs w:val="20"/>
              </w:rPr>
              <w:t>Silencio autonómico</w:t>
            </w:r>
          </w:p>
        </w:tc>
      </w:tr>
    </w:tbl>
    <w:p w14:paraId="45E98AD4" w14:textId="77777777" w:rsidR="00031D96" w:rsidRDefault="00000000">
      <w:pPr>
        <w:spacing w:after="200" w:line="276" w:lineRule="auto"/>
        <w:jc w:val="both"/>
      </w:pPr>
      <w:r>
        <w:rPr>
          <w:i/>
          <w:iCs/>
          <w:sz w:val="18"/>
          <w:szCs w:val="18"/>
        </w:rPr>
        <w:t>ARI: Índice de Respuesta Autonómica (adimensional, 0–1); Ganancia FC: ΔHR/ΔSpO₂.</w:t>
      </w:r>
    </w:p>
    <w:p w14:paraId="2B7FAF2C" w14:textId="77777777" w:rsidR="00031D96" w:rsidRDefault="00000000">
      <w:pPr>
        <w:pStyle w:val="Ttulo2"/>
      </w:pPr>
      <w:r>
        <w:t>3.6 ARI como dimensión fisiológica ortogonal</w:t>
      </w:r>
    </w:p>
    <w:p w14:paraId="5C7001C0" w14:textId="77777777" w:rsidR="00031D96" w:rsidRDefault="00000000">
      <w:pPr>
        <w:spacing w:after="160" w:line="276" w:lineRule="auto"/>
        <w:jc w:val="both"/>
      </w:pPr>
      <w:r>
        <w:t>La correlación de Spearman entre ARI y drop_pct fue ρ=0.034 (p&lt;10</w:t>
      </w:r>
      <w:r>
        <w:rPr>
          <w:sz w:val="18"/>
          <w:szCs w:val="18"/>
          <w:vertAlign w:val="superscript"/>
        </w:rPr>
        <w:t>-23</w:t>
      </w:r>
      <w:r>
        <w:t>), confirmando que el índice es prácticamente ortogonal a la magnitud de la desaturación. El AUC para discriminar eventos C4+C5 vs. C1–C3 fue 0.453, no superior al azar, lo que confirma que el ARI no es un proxy de severidad morfológica sino una dimensión fisiológica independiente.</w:t>
      </w:r>
    </w:p>
    <w:p w14:paraId="500009A0" w14:textId="77777777" w:rsidR="00031D96" w:rsidRDefault="00000000">
      <w:pPr>
        <w:spacing w:after="120" w:line="276" w:lineRule="auto"/>
        <w:jc w:val="both"/>
      </w:pPr>
      <w:r>
        <w:lastRenderedPageBreak/>
        <w:t>La correlación del ARI nocturno agregado con el ODI3 fue ρ=−0.245 (p&lt;10</w:t>
      </w:r>
      <w:r>
        <w:rPr>
          <w:sz w:val="18"/>
          <w:szCs w:val="18"/>
          <w:vertAlign w:val="superscript"/>
        </w:rPr>
        <w:t>-9</w:t>
      </w:r>
      <w:r>
        <w:t>), modesta pero estadísticamente significativa, indicando una tendencia a menor respuesta autonómica en noches más severas. La Tabla 5 muestra el ARI y las métricas morfológicas por estrato de severidad nocturna.</w:t>
      </w:r>
    </w:p>
    <w:p w14:paraId="2C7E2807" w14:textId="77777777" w:rsidR="00031D96" w:rsidRDefault="00000000">
      <w:pPr>
        <w:spacing w:before="80" w:after="80"/>
      </w:pPr>
      <w:r>
        <w:rPr>
          <w:b/>
          <w:bCs/>
          <w:sz w:val="20"/>
          <w:szCs w:val="20"/>
        </w:rPr>
        <w:t xml:space="preserve">Tabla 5. </w:t>
      </w:r>
      <w:r>
        <w:rPr>
          <w:sz w:val="20"/>
          <w:szCs w:val="20"/>
        </w:rPr>
        <w:t>Métricas morfológicas y autonómicas por estrato de severidad nocturna (medianas).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1500"/>
        <w:gridCol w:w="1500"/>
        <w:gridCol w:w="1926"/>
      </w:tblGrid>
      <w:tr w:rsidR="00031D96" w14:paraId="680A076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ED25368" w14:textId="77777777" w:rsidR="00031D96" w:rsidRDefault="00000000">
            <w:pPr>
              <w:jc w:val="center"/>
            </w:pPr>
            <w:r>
              <w:rPr>
                <w:b/>
                <w:bCs/>
                <w:color w:val="FFFFFF"/>
                <w:sz w:val="20"/>
                <w:szCs w:val="20"/>
              </w:rPr>
              <w:t>Métrica</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5D6A5D4" w14:textId="77777777" w:rsidR="00031D96" w:rsidRDefault="00000000">
            <w:pPr>
              <w:jc w:val="center"/>
            </w:pPr>
            <w:r>
              <w:rPr>
                <w:b/>
                <w:bCs/>
                <w:color w:val="FFFFFF"/>
                <w:sz w:val="20"/>
                <w:szCs w:val="20"/>
              </w:rPr>
              <w:t>Leve (n=29)</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6A4A92D" w14:textId="77777777" w:rsidR="00031D96" w:rsidRDefault="00000000">
            <w:pPr>
              <w:jc w:val="center"/>
            </w:pPr>
            <w:r>
              <w:rPr>
                <w:b/>
                <w:bCs/>
                <w:color w:val="FFFFFF"/>
                <w:sz w:val="20"/>
                <w:szCs w:val="20"/>
              </w:rPr>
              <w:t>Moderado (n=259)</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5FB2A85" w14:textId="77777777" w:rsidR="00031D96" w:rsidRDefault="00000000">
            <w:pPr>
              <w:jc w:val="center"/>
            </w:pPr>
            <w:r>
              <w:rPr>
                <w:b/>
                <w:bCs/>
                <w:color w:val="FFFFFF"/>
                <w:sz w:val="20"/>
                <w:szCs w:val="20"/>
              </w:rPr>
              <w:t>Grave (n=218)</w:t>
            </w:r>
          </w:p>
        </w:tc>
        <w:tc>
          <w:tcPr>
            <w:tcW w:w="19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F9AFDDE" w14:textId="77777777" w:rsidR="00031D96" w:rsidRDefault="00000000">
            <w:pPr>
              <w:jc w:val="center"/>
            </w:pPr>
            <w:r>
              <w:rPr>
                <w:b/>
                <w:bCs/>
                <w:color w:val="FFFFFF"/>
                <w:sz w:val="20"/>
                <w:szCs w:val="20"/>
              </w:rPr>
              <w:t>Muy grave (n=54)</w:t>
            </w:r>
          </w:p>
        </w:tc>
      </w:tr>
      <w:tr w:rsidR="00031D96" w14:paraId="7FBF935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CB3836" w14:textId="77777777" w:rsidR="00031D96" w:rsidRDefault="00000000">
            <w:pPr>
              <w:jc w:val="center"/>
            </w:pPr>
            <w:r>
              <w:rPr>
                <w:sz w:val="20"/>
                <w:szCs w:val="20"/>
              </w:rPr>
              <w:t>ODI3 (ev/h)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84D22" w14:textId="77777777" w:rsidR="00031D96" w:rsidRDefault="00000000">
            <w:pPr>
              <w:jc w:val="center"/>
            </w:pPr>
            <w:r>
              <w:rPr>
                <w:sz w:val="20"/>
                <w:szCs w:val="20"/>
              </w:rPr>
              <w:t>3.8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3B8D7" w14:textId="77777777" w:rsidR="00031D96" w:rsidRDefault="00000000">
            <w:pPr>
              <w:jc w:val="center"/>
            </w:pPr>
            <w:r>
              <w:rPr>
                <w:sz w:val="20"/>
                <w:szCs w:val="20"/>
              </w:rPr>
              <w:t>10.2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06DF60" w14:textId="77777777" w:rsidR="00031D96" w:rsidRDefault="00000000">
            <w:pPr>
              <w:jc w:val="center"/>
            </w:pPr>
            <w:r>
              <w:rPr>
                <w:sz w:val="20"/>
                <w:szCs w:val="20"/>
              </w:rPr>
              <w:t>20.1</w:t>
            </w:r>
          </w:p>
        </w:tc>
        <w:tc>
          <w:tcPr>
            <w:tcW w:w="19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46CD3" w14:textId="77777777" w:rsidR="00031D96" w:rsidRDefault="00000000">
            <w:pPr>
              <w:jc w:val="center"/>
            </w:pPr>
            <w:r>
              <w:rPr>
                <w:sz w:val="20"/>
                <w:szCs w:val="20"/>
              </w:rPr>
              <w:t>40.9</w:t>
            </w:r>
          </w:p>
        </w:tc>
      </w:tr>
      <w:tr w:rsidR="00031D96" w14:paraId="1720947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85909B" w14:textId="77777777" w:rsidR="00031D96" w:rsidRDefault="00000000">
            <w:pPr>
              <w:jc w:val="center"/>
            </w:pPr>
            <w:r>
              <w:rPr>
                <w:sz w:val="20"/>
                <w:szCs w:val="20"/>
              </w:rPr>
              <w:t>T90 (%)</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097621" w14:textId="77777777" w:rsidR="00031D96" w:rsidRDefault="00000000">
            <w:pPr>
              <w:jc w:val="center"/>
            </w:pPr>
            <w:r>
              <w:rPr>
                <w:sz w:val="20"/>
                <w:szCs w:val="20"/>
              </w:rPr>
              <w:t>0.3</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05B884" w14:textId="77777777" w:rsidR="00031D96" w:rsidRDefault="00000000">
            <w:pPr>
              <w:jc w:val="center"/>
            </w:pPr>
            <w:r>
              <w:rPr>
                <w:sz w:val="20"/>
                <w:szCs w:val="20"/>
              </w:rPr>
              <w:t>1.2</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846257" w14:textId="77777777" w:rsidR="00031D96" w:rsidRDefault="00000000">
            <w:pPr>
              <w:jc w:val="center"/>
            </w:pPr>
            <w:r>
              <w:rPr>
                <w:sz w:val="20"/>
                <w:szCs w:val="20"/>
              </w:rPr>
              <w:t>2.7</w:t>
            </w:r>
          </w:p>
        </w:tc>
        <w:tc>
          <w:tcPr>
            <w:tcW w:w="19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BD7AE7" w14:textId="77777777" w:rsidR="00031D96" w:rsidRDefault="00000000">
            <w:pPr>
              <w:jc w:val="center"/>
            </w:pPr>
            <w:r>
              <w:rPr>
                <w:sz w:val="20"/>
                <w:szCs w:val="20"/>
              </w:rPr>
              <w:t>12.3</w:t>
            </w:r>
          </w:p>
        </w:tc>
      </w:tr>
      <w:tr w:rsidR="00031D96" w14:paraId="251CAE6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D2519" w14:textId="77777777" w:rsidR="00031D96" w:rsidRDefault="00000000">
            <w:pPr>
              <w:jc w:val="center"/>
            </w:pPr>
            <w:r>
              <w:rPr>
                <w:sz w:val="20"/>
                <w:szCs w:val="20"/>
              </w:rPr>
              <w:t>SpO₂ mín (%)</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B517EF" w14:textId="77777777" w:rsidR="00031D96" w:rsidRDefault="00000000">
            <w:pPr>
              <w:jc w:val="center"/>
            </w:pPr>
            <w:r>
              <w:rPr>
                <w:sz w:val="20"/>
                <w:szCs w:val="20"/>
              </w:rPr>
              <w:t>80.0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63FC39" w14:textId="77777777" w:rsidR="00031D96" w:rsidRDefault="00000000">
            <w:pPr>
              <w:jc w:val="center"/>
            </w:pPr>
            <w:r>
              <w:rPr>
                <w:sz w:val="20"/>
                <w:szCs w:val="20"/>
              </w:rPr>
              <w:t>72.0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FECBA" w14:textId="77777777" w:rsidR="00031D96" w:rsidRDefault="00000000">
            <w:pPr>
              <w:jc w:val="center"/>
            </w:pPr>
            <w:r>
              <w:rPr>
                <w:sz w:val="20"/>
                <w:szCs w:val="20"/>
              </w:rPr>
              <w:t>70.0</w:t>
            </w:r>
          </w:p>
        </w:tc>
        <w:tc>
          <w:tcPr>
            <w:tcW w:w="19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96321" w14:textId="77777777" w:rsidR="00031D96" w:rsidRDefault="00000000">
            <w:pPr>
              <w:jc w:val="center"/>
            </w:pPr>
            <w:r>
              <w:rPr>
                <w:sz w:val="20"/>
                <w:szCs w:val="20"/>
              </w:rPr>
              <w:t>71.0</w:t>
            </w:r>
          </w:p>
        </w:tc>
      </w:tr>
      <w:tr w:rsidR="00031D96" w14:paraId="10F164C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A53FE" w14:textId="77777777" w:rsidR="00031D96" w:rsidRDefault="00000000">
            <w:pPr>
              <w:jc w:val="center"/>
            </w:pPr>
            <w:r>
              <w:rPr>
                <w:sz w:val="20"/>
                <w:szCs w:val="20"/>
              </w:rPr>
              <w:t>Frac C1 (%)</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551D2E" w14:textId="77777777" w:rsidR="00031D96" w:rsidRDefault="00000000">
            <w:pPr>
              <w:jc w:val="center"/>
            </w:pPr>
            <w:r>
              <w:rPr>
                <w:sz w:val="20"/>
                <w:szCs w:val="20"/>
              </w:rPr>
              <w:t>83.7%</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4D2264" w14:textId="77777777" w:rsidR="00031D96" w:rsidRDefault="00000000">
            <w:pPr>
              <w:jc w:val="center"/>
            </w:pPr>
            <w:r>
              <w:rPr>
                <w:sz w:val="20"/>
                <w:szCs w:val="20"/>
              </w:rPr>
              <w:t>73.8%</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2CFE0B" w14:textId="77777777" w:rsidR="00031D96" w:rsidRDefault="00000000">
            <w:pPr>
              <w:jc w:val="center"/>
            </w:pPr>
            <w:r>
              <w:rPr>
                <w:sz w:val="20"/>
                <w:szCs w:val="20"/>
              </w:rPr>
              <w:t>66.7%</w:t>
            </w:r>
          </w:p>
        </w:tc>
        <w:tc>
          <w:tcPr>
            <w:tcW w:w="19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1AA9CF" w14:textId="77777777" w:rsidR="00031D96" w:rsidRDefault="00000000">
            <w:pPr>
              <w:jc w:val="center"/>
            </w:pPr>
            <w:r>
              <w:rPr>
                <w:sz w:val="20"/>
                <w:szCs w:val="20"/>
              </w:rPr>
              <w:t>43.4%</w:t>
            </w:r>
          </w:p>
        </w:tc>
      </w:tr>
      <w:tr w:rsidR="00031D96" w14:paraId="348F3A9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42CCB" w14:textId="77777777" w:rsidR="00031D96" w:rsidRDefault="00000000">
            <w:pPr>
              <w:jc w:val="center"/>
            </w:pPr>
            <w:r>
              <w:rPr>
                <w:sz w:val="20"/>
                <w:szCs w:val="20"/>
              </w:rPr>
              <w:t>Frac C4+C5 (%)</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271CF1" w14:textId="77777777" w:rsidR="00031D96" w:rsidRDefault="00000000">
            <w:pPr>
              <w:jc w:val="center"/>
            </w:pPr>
            <w:r>
              <w:rPr>
                <w:sz w:val="20"/>
                <w:szCs w:val="20"/>
              </w:rPr>
              <w:t>1.6%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E4867" w14:textId="77777777" w:rsidR="00031D96" w:rsidRDefault="00000000">
            <w:pPr>
              <w:jc w:val="center"/>
            </w:pPr>
            <w:r>
              <w:rPr>
                <w:sz w:val="20"/>
                <w:szCs w:val="20"/>
              </w:rPr>
              <w:t>4.4%</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7C8530" w14:textId="77777777" w:rsidR="00031D96" w:rsidRDefault="00000000">
            <w:pPr>
              <w:jc w:val="center"/>
            </w:pPr>
            <w:r>
              <w:rPr>
                <w:sz w:val="20"/>
                <w:szCs w:val="20"/>
              </w:rPr>
              <w:t>4.0%</w:t>
            </w:r>
          </w:p>
        </w:tc>
        <w:tc>
          <w:tcPr>
            <w:tcW w:w="19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E6040" w14:textId="77777777" w:rsidR="00031D96" w:rsidRDefault="00000000">
            <w:pPr>
              <w:jc w:val="center"/>
            </w:pPr>
            <w:r>
              <w:rPr>
                <w:sz w:val="20"/>
                <w:szCs w:val="20"/>
              </w:rPr>
              <w:t>9.7%</w:t>
            </w:r>
          </w:p>
        </w:tc>
      </w:tr>
      <w:tr w:rsidR="00031D96" w14:paraId="7BA2C55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C857D2" w14:textId="77777777" w:rsidR="00031D96" w:rsidRDefault="00000000">
            <w:pPr>
              <w:jc w:val="center"/>
            </w:pPr>
            <w:r>
              <w:rPr>
                <w:sz w:val="20"/>
                <w:szCs w:val="20"/>
              </w:rPr>
              <w:t>ARI medio</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DE1BBC" w14:textId="77777777" w:rsidR="00031D96" w:rsidRDefault="00000000">
            <w:pPr>
              <w:jc w:val="center"/>
            </w:pPr>
            <w:r>
              <w:rPr>
                <w:sz w:val="20"/>
                <w:szCs w:val="20"/>
              </w:rPr>
              <w:t>0.519</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DACC4B" w14:textId="77777777" w:rsidR="00031D96" w:rsidRDefault="00000000">
            <w:pPr>
              <w:jc w:val="center"/>
            </w:pPr>
            <w:r>
              <w:rPr>
                <w:sz w:val="20"/>
                <w:szCs w:val="20"/>
              </w:rPr>
              <w:t>0.518</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DC40A6" w14:textId="77777777" w:rsidR="00031D96" w:rsidRDefault="00000000">
            <w:pPr>
              <w:jc w:val="center"/>
            </w:pPr>
            <w:r>
              <w:rPr>
                <w:sz w:val="20"/>
                <w:szCs w:val="20"/>
              </w:rPr>
              <w:t>0.470</w:t>
            </w:r>
          </w:p>
        </w:tc>
        <w:tc>
          <w:tcPr>
            <w:tcW w:w="19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A8ED41" w14:textId="77777777" w:rsidR="00031D96" w:rsidRDefault="00000000">
            <w:pPr>
              <w:jc w:val="center"/>
            </w:pPr>
            <w:r>
              <w:rPr>
                <w:sz w:val="20"/>
                <w:szCs w:val="20"/>
              </w:rPr>
              <w:t>0.486</w:t>
            </w:r>
          </w:p>
        </w:tc>
      </w:tr>
      <w:tr w:rsidR="00031D96" w14:paraId="3496C60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7A1FBB" w14:textId="77777777" w:rsidR="00031D96" w:rsidRDefault="00000000">
            <w:pPr>
              <w:jc w:val="center"/>
            </w:pPr>
            <w:r>
              <w:rPr>
                <w:sz w:val="20"/>
                <w:szCs w:val="20"/>
              </w:rPr>
              <w:t>Caída media (pp)</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202386" w14:textId="77777777" w:rsidR="00031D96" w:rsidRDefault="00000000">
            <w:pPr>
              <w:jc w:val="center"/>
            </w:pPr>
            <w:r>
              <w:rPr>
                <w:sz w:val="20"/>
                <w:szCs w:val="20"/>
              </w:rPr>
              <w:t>3.4</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FF964F" w14:textId="77777777" w:rsidR="00031D96" w:rsidRDefault="00000000">
            <w:pPr>
              <w:jc w:val="center"/>
            </w:pPr>
            <w:r>
              <w:rPr>
                <w:sz w:val="20"/>
                <w:szCs w:val="20"/>
              </w:rPr>
              <w:t>4.4</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62B3E" w14:textId="77777777" w:rsidR="00031D96" w:rsidRDefault="00000000">
            <w:pPr>
              <w:jc w:val="center"/>
            </w:pPr>
            <w:r>
              <w:rPr>
                <w:sz w:val="20"/>
                <w:szCs w:val="20"/>
              </w:rPr>
              <w:t>4.5</w:t>
            </w:r>
          </w:p>
        </w:tc>
        <w:tc>
          <w:tcPr>
            <w:tcW w:w="19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5BB7F" w14:textId="77777777" w:rsidR="00031D96" w:rsidRDefault="00000000">
            <w:pPr>
              <w:jc w:val="center"/>
            </w:pPr>
            <w:r>
              <w:rPr>
                <w:sz w:val="20"/>
                <w:szCs w:val="20"/>
              </w:rPr>
              <w:t>5.6</w:t>
            </w:r>
          </w:p>
        </w:tc>
      </w:tr>
    </w:tbl>
    <w:p w14:paraId="17382B60" w14:textId="77777777" w:rsidR="00031D96" w:rsidRDefault="00000000">
      <w:pPr>
        <w:spacing w:after="200" w:line="276" w:lineRule="auto"/>
        <w:jc w:val="both"/>
      </w:pPr>
      <w:r>
        <w:rPr>
          <w:i/>
          <w:iCs/>
          <w:sz w:val="18"/>
          <w:szCs w:val="18"/>
        </w:rPr>
        <w:t>Valores expresados como mediana. Leve: ODI3&lt;5 ev/h; Moderado: 5–15; Grave: 15–30; Muy grave: ≥30.</w:t>
      </w:r>
    </w:p>
    <w:p w14:paraId="60E4CF20" w14:textId="77777777" w:rsidR="00031D96" w:rsidRDefault="00000000">
      <w:pPr>
        <w:pStyle w:val="Ttulo2"/>
      </w:pPr>
      <w:r>
        <w:t>3.7 Validación clínica del ARI: análisis within-stratum</w:t>
      </w:r>
    </w:p>
    <w:p w14:paraId="44EAE2E1" w14:textId="77777777" w:rsidR="00031D96" w:rsidRDefault="00000000">
      <w:pPr>
        <w:spacing w:after="120" w:line="276" w:lineRule="auto"/>
        <w:jc w:val="both"/>
      </w:pPr>
      <w:r>
        <w:t>Para evaluar el poder discriminativo del ARI dentro de cada estrato de severidad, se dividió cada grupo por la mediana del ARI nocturno y se compararon variables clínicas y morfológicas entre los subgrupos de alta y baja respuesta autonómica. La Tabla 6 resume los resultados para los estratos Leve y Moderado (los de mayor n).</w:t>
      </w:r>
    </w:p>
    <w:p w14:paraId="020EACEE" w14:textId="77777777" w:rsidR="00031D96" w:rsidRDefault="00000000">
      <w:pPr>
        <w:spacing w:before="80" w:after="80"/>
      </w:pPr>
      <w:r>
        <w:rPr>
          <w:b/>
          <w:bCs/>
          <w:sz w:val="20"/>
          <w:szCs w:val="20"/>
        </w:rPr>
        <w:t xml:space="preserve">Tabla 6. </w:t>
      </w:r>
      <w:r>
        <w:rPr>
          <w:sz w:val="20"/>
          <w:szCs w:val="20"/>
        </w:rPr>
        <w:t>Análisis within-stratum: variables clínicas por subgrupo de ARI alto vs. bajo dentro de cada estrato de severidad (Mann–Whitney 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400"/>
        <w:gridCol w:w="1400"/>
        <w:gridCol w:w="1400"/>
        <w:gridCol w:w="1426"/>
      </w:tblGrid>
      <w:tr w:rsidR="00031D96" w14:paraId="63955C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80CDC1D" w14:textId="77777777" w:rsidR="00031D96" w:rsidRDefault="00000000">
            <w:pPr>
              <w:jc w:val="center"/>
            </w:pPr>
            <w:r>
              <w:rPr>
                <w:b/>
                <w:bCs/>
                <w:color w:val="FFFFFF"/>
                <w:sz w:val="20"/>
                <w:szCs w:val="20"/>
              </w:rPr>
              <w:t>Variable</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064FA1C" w14:textId="77777777" w:rsidR="00031D96" w:rsidRDefault="00000000">
            <w:pPr>
              <w:jc w:val="center"/>
            </w:pPr>
            <w:r>
              <w:rPr>
                <w:b/>
                <w:bCs/>
                <w:color w:val="FFFFFF"/>
                <w:sz w:val="20"/>
                <w:szCs w:val="20"/>
              </w:rPr>
              <w:t>Leve ARI↑</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CDBF022" w14:textId="77777777" w:rsidR="00031D96" w:rsidRDefault="00000000">
            <w:pPr>
              <w:jc w:val="center"/>
            </w:pPr>
            <w:r>
              <w:rPr>
                <w:b/>
                <w:bCs/>
                <w:color w:val="FFFFFF"/>
                <w:sz w:val="20"/>
                <w:szCs w:val="20"/>
              </w:rPr>
              <w:t>Leve ARI↓</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C982F87" w14:textId="77777777" w:rsidR="00031D96" w:rsidRDefault="00000000">
            <w:pPr>
              <w:jc w:val="center"/>
            </w:pPr>
            <w:r>
              <w:rPr>
                <w:b/>
                <w:bCs/>
                <w:color w:val="FFFFFF"/>
                <w:sz w:val="20"/>
                <w:szCs w:val="20"/>
              </w:rPr>
              <w:t>Mod. ARI↑</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5642C88" w14:textId="77777777" w:rsidR="00031D96" w:rsidRDefault="00000000">
            <w:pPr>
              <w:jc w:val="center"/>
            </w:pPr>
            <w:r>
              <w:rPr>
                <w:b/>
                <w:bCs/>
                <w:color w:val="FFFFFF"/>
                <w:sz w:val="20"/>
                <w:szCs w:val="20"/>
              </w:rPr>
              <w:t>Mod. ARI↓</w:t>
            </w:r>
          </w:p>
        </w:tc>
        <w:tc>
          <w:tcPr>
            <w:tcW w:w="1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F0D12C1" w14:textId="77777777" w:rsidR="00031D96" w:rsidRDefault="00000000">
            <w:pPr>
              <w:jc w:val="center"/>
            </w:pPr>
            <w:r>
              <w:rPr>
                <w:b/>
                <w:bCs/>
                <w:color w:val="FFFFFF"/>
                <w:sz w:val="20"/>
                <w:szCs w:val="20"/>
              </w:rPr>
              <w:t>Sig.</w:t>
            </w:r>
          </w:p>
        </w:tc>
      </w:tr>
      <w:tr w:rsidR="00031D96" w14:paraId="643A43A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0BFFA8" w14:textId="77777777" w:rsidR="00031D96" w:rsidRDefault="00000000">
            <w:pPr>
              <w:jc w:val="center"/>
            </w:pPr>
            <w:r>
              <w:rPr>
                <w:sz w:val="20"/>
                <w:szCs w:val="20"/>
              </w:rPr>
              <w:t>ODI3 (ev/h)</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5BD4F5" w14:textId="77777777" w:rsidR="00031D96" w:rsidRDefault="00000000">
            <w:pPr>
              <w:jc w:val="center"/>
            </w:pPr>
            <w:r>
              <w:rPr>
                <w:sz w:val="20"/>
                <w:szCs w:val="20"/>
              </w:rPr>
              <w:t>3.80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57752" w14:textId="77777777" w:rsidR="00031D96" w:rsidRDefault="00000000">
            <w:pPr>
              <w:jc w:val="center"/>
            </w:pPr>
            <w:r>
              <w:rPr>
                <w:sz w:val="20"/>
                <w:szCs w:val="20"/>
              </w:rPr>
              <w:t>3.94</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F6719" w14:textId="77777777" w:rsidR="00031D96" w:rsidRDefault="00000000">
            <w:pPr>
              <w:jc w:val="center"/>
            </w:pPr>
            <w:r>
              <w:rPr>
                <w:sz w:val="20"/>
                <w:szCs w:val="20"/>
              </w:rPr>
              <w:t>9.93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E2E98D" w14:textId="77777777" w:rsidR="00031D96" w:rsidRDefault="00000000">
            <w:pPr>
              <w:jc w:val="center"/>
            </w:pPr>
            <w:r>
              <w:rPr>
                <w:sz w:val="20"/>
                <w:szCs w:val="20"/>
              </w:rPr>
              <w:t>10.38</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2673EE" w14:textId="77777777" w:rsidR="00031D96" w:rsidRDefault="00000000">
            <w:pPr>
              <w:jc w:val="center"/>
            </w:pPr>
            <w:r>
              <w:rPr>
                <w:sz w:val="20"/>
                <w:szCs w:val="20"/>
              </w:rPr>
              <w:t>ns</w:t>
            </w:r>
          </w:p>
        </w:tc>
      </w:tr>
      <w:tr w:rsidR="00031D96" w14:paraId="233637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4267D6" w14:textId="77777777" w:rsidR="00031D96" w:rsidRDefault="00000000">
            <w:pPr>
              <w:jc w:val="center"/>
            </w:pPr>
            <w:r>
              <w:rPr>
                <w:sz w:val="20"/>
                <w:szCs w:val="20"/>
              </w:rPr>
              <w:t>Ganancia FC</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96547C" w14:textId="77777777" w:rsidR="00031D96" w:rsidRDefault="00000000">
            <w:pPr>
              <w:jc w:val="center"/>
            </w:pPr>
            <w:r>
              <w:rPr>
                <w:sz w:val="20"/>
                <w:szCs w:val="20"/>
              </w:rPr>
              <w:t>0.938</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33E76C" w14:textId="77777777" w:rsidR="00031D96" w:rsidRDefault="00000000">
            <w:pPr>
              <w:jc w:val="center"/>
            </w:pPr>
            <w:r>
              <w:rPr>
                <w:sz w:val="20"/>
                <w:szCs w:val="20"/>
              </w:rPr>
              <w:t>0.613</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41F3ED" w14:textId="77777777" w:rsidR="00031D96" w:rsidRDefault="00000000">
            <w:pPr>
              <w:jc w:val="center"/>
            </w:pPr>
            <w:r>
              <w:rPr>
                <w:sz w:val="20"/>
                <w:szCs w:val="20"/>
              </w:rPr>
              <w:t>1.148</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378ED5" w14:textId="77777777" w:rsidR="00031D96" w:rsidRDefault="00000000">
            <w:pPr>
              <w:jc w:val="center"/>
            </w:pPr>
            <w:r>
              <w:rPr>
                <w:sz w:val="20"/>
                <w:szCs w:val="20"/>
              </w:rPr>
              <w:t>0.615</w:t>
            </w:r>
          </w:p>
        </w:tc>
        <w:tc>
          <w:tcPr>
            <w:tcW w:w="1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6F6303" w14:textId="77777777" w:rsidR="00031D96" w:rsidRDefault="00000000">
            <w:pPr>
              <w:jc w:val="center"/>
            </w:pPr>
            <w:r>
              <w:rPr>
                <w:sz w:val="20"/>
                <w:szCs w:val="20"/>
              </w:rPr>
              <w:t>***</w:t>
            </w:r>
          </w:p>
        </w:tc>
      </w:tr>
      <w:tr w:rsidR="00031D96" w14:paraId="303FBD9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E8878" w14:textId="77777777" w:rsidR="00031D96" w:rsidRDefault="00000000">
            <w:pPr>
              <w:jc w:val="center"/>
            </w:pPr>
            <w:r>
              <w:rPr>
                <w:sz w:val="20"/>
                <w:szCs w:val="20"/>
              </w:rPr>
              <w:t>Frac C4+C5(%)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C658C8" w14:textId="77777777" w:rsidR="00031D96" w:rsidRDefault="00000000">
            <w:pPr>
              <w:jc w:val="center"/>
            </w:pPr>
            <w:r>
              <w:rPr>
                <w:sz w:val="20"/>
                <w:szCs w:val="20"/>
              </w:rPr>
              <w:t>0.0%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8CDCA" w14:textId="77777777" w:rsidR="00031D96" w:rsidRDefault="00000000">
            <w:pPr>
              <w:jc w:val="center"/>
            </w:pPr>
            <w:r>
              <w:rPr>
                <w:sz w:val="20"/>
                <w:szCs w:val="20"/>
              </w:rPr>
              <w:t>2.1%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0BB61F" w14:textId="77777777" w:rsidR="00031D96" w:rsidRDefault="00000000">
            <w:pPr>
              <w:jc w:val="center"/>
            </w:pPr>
            <w:r>
              <w:rPr>
                <w:sz w:val="20"/>
                <w:szCs w:val="20"/>
              </w:rPr>
              <w:t>3.3%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5680C7" w14:textId="77777777" w:rsidR="00031D96" w:rsidRDefault="00000000">
            <w:pPr>
              <w:jc w:val="center"/>
            </w:pPr>
            <w:r>
              <w:rPr>
                <w:sz w:val="20"/>
                <w:szCs w:val="20"/>
              </w:rPr>
              <w:t>5.5%</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973100" w14:textId="77777777" w:rsidR="00031D96" w:rsidRDefault="00000000">
            <w:pPr>
              <w:jc w:val="center"/>
            </w:pPr>
            <w:r>
              <w:rPr>
                <w:sz w:val="20"/>
                <w:szCs w:val="20"/>
              </w:rPr>
              <w:t>*** (Mod)</w:t>
            </w:r>
          </w:p>
        </w:tc>
      </w:tr>
      <w:tr w:rsidR="00031D96" w14:paraId="70C28E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5A3077" w14:textId="77777777" w:rsidR="00031D96" w:rsidRDefault="00000000">
            <w:pPr>
              <w:jc w:val="center"/>
            </w:pPr>
            <w:r>
              <w:rPr>
                <w:sz w:val="20"/>
                <w:szCs w:val="20"/>
              </w:rPr>
              <w:t>T90 (%)</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020571" w14:textId="77777777" w:rsidR="00031D96" w:rsidRDefault="00000000">
            <w:pPr>
              <w:jc w:val="center"/>
            </w:pPr>
            <w:r>
              <w:rPr>
                <w:sz w:val="20"/>
                <w:szCs w:val="20"/>
              </w:rPr>
              <w:t>0.18</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97B372" w14:textId="77777777" w:rsidR="00031D96" w:rsidRDefault="00000000">
            <w:pPr>
              <w:jc w:val="center"/>
            </w:pPr>
            <w:r>
              <w:rPr>
                <w:sz w:val="20"/>
                <w:szCs w:val="20"/>
              </w:rPr>
              <w:t>0.60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CBC566" w14:textId="77777777" w:rsidR="00031D96" w:rsidRDefault="00000000">
            <w:pPr>
              <w:jc w:val="center"/>
            </w:pPr>
            <w:r>
              <w:rPr>
                <w:sz w:val="20"/>
                <w:szCs w:val="20"/>
              </w:rPr>
              <w:t>0.94</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60C19B" w14:textId="77777777" w:rsidR="00031D96" w:rsidRDefault="00000000">
            <w:pPr>
              <w:jc w:val="center"/>
            </w:pPr>
            <w:r>
              <w:rPr>
                <w:sz w:val="20"/>
                <w:szCs w:val="20"/>
              </w:rPr>
              <w:t>1.33</w:t>
            </w:r>
          </w:p>
        </w:tc>
        <w:tc>
          <w:tcPr>
            <w:tcW w:w="1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F03232" w14:textId="77777777" w:rsidR="00031D96" w:rsidRDefault="00000000">
            <w:pPr>
              <w:jc w:val="center"/>
            </w:pPr>
            <w:r>
              <w:rPr>
                <w:sz w:val="20"/>
                <w:szCs w:val="20"/>
              </w:rPr>
              <w:t>*** (Mod)</w:t>
            </w:r>
          </w:p>
        </w:tc>
      </w:tr>
    </w:tbl>
    <w:p w14:paraId="72E7FC2D" w14:textId="77777777" w:rsidR="00031D96" w:rsidRDefault="00000000">
      <w:pPr>
        <w:spacing w:after="160" w:line="276" w:lineRule="auto"/>
        <w:jc w:val="both"/>
      </w:pPr>
      <w:r>
        <w:rPr>
          <w:i/>
          <w:iCs/>
          <w:sz w:val="18"/>
          <w:szCs w:val="18"/>
        </w:rPr>
        <w:t>ARI↑: por encima de la mediana del ARI del estrato; ARI↓: por debajo. *** p&lt;0.001; ns: no significativo.</w:t>
      </w:r>
    </w:p>
    <w:p w14:paraId="48C24441" w14:textId="77777777" w:rsidR="00031D96" w:rsidRDefault="00000000">
      <w:pPr>
        <w:spacing w:after="200" w:line="276" w:lineRule="auto"/>
        <w:jc w:val="both"/>
      </w:pPr>
      <w:r>
        <w:t>El hallazgo principal del análisis within-stratum es que la ganancia de FC fue significativamente mayor en el subgrupo de ARI alto dentro de cada estrato de severidad (p&lt;0.001 en todos los estratos), aun cuando el ODI3 no difirió entre subgrupos (ns). En el estrato Moderado, el subgrupo ARI alto mostró además menor fracción de eventos severos (3.3% vs. 5.5%) y menor T90 (0.94% vs. 1.33%), sugiriendo que una mayor respuesta autonómica podría asociarse con mejor homeostasis nocturna ante cargas hipóxicas equivalentes.</w:t>
      </w:r>
    </w:p>
    <w:p w14:paraId="5FC15FD5" w14:textId="77777777" w:rsidR="00031D96" w:rsidRDefault="00000000">
      <w:pPr>
        <w:pStyle w:val="Ttulo1"/>
      </w:pPr>
      <w:r>
        <w:t>4. Discusión</w:t>
      </w:r>
    </w:p>
    <w:p w14:paraId="18864FA3" w14:textId="77777777" w:rsidR="00031D96" w:rsidRDefault="00000000">
      <w:pPr>
        <w:spacing w:after="160" w:line="276" w:lineRule="auto"/>
        <w:jc w:val="both"/>
      </w:pPr>
      <w:r>
        <w:lastRenderedPageBreak/>
        <w:t>Los resultados de este trabajo demuestran que los eventos de desaturación nocturna presentan una organización morfológica compleja pero estructurada —describible con apenas tres componentes principales (83.9% de varianza)— que puede capturarse sistemáticamente mediante clustering no supervisado. Los cinco morfotipos identificados (C1–C5) difieren no sólo en profundidad sino en dinámica temporal, lo que es particularmente relevante en el caso de C3 y C4, que comparten nadir similar pero difieren en la posición temporal del nadir (24% vs. 72% de la duración del evento). Esta distinción, invisible para cualquier índice basado en amplitud o duración, puede tener implicancias fisiopatológicas en términos de latencia del arousal y respuesta cardiovascular.</w:t>
      </w:r>
    </w:p>
    <w:p w14:paraId="73A9F136" w14:textId="77777777" w:rsidR="00031D96" w:rsidRDefault="00000000">
      <w:pPr>
        <w:spacing w:after="160" w:line="276" w:lineRule="auto"/>
        <w:jc w:val="both"/>
      </w:pPr>
      <w:r>
        <w:t xml:space="preserve">La propuesta del ARI como eje autonómico ortogonal a la severidad hipóxica constituye la contribución conceptual central del trabajo. El análisis within-stratum —donde ARI diferencia pacientes con carga hipóxica equivalente (p&lt;0.001 para ganancia de FC)— sugiere que existen al menos dos dimensiones fisiopatológicas independientes en el SAOS: la </w:t>
      </w:r>
      <w:r>
        <w:rPr>
          <w:i/>
          <w:iCs/>
        </w:rPr>
        <w:t>carga hipóxica</w:t>
      </w:r>
      <w:r>
        <w:t xml:space="preserve"> (capturada por ODI, T90, carga hipóxica) y la </w:t>
      </w:r>
      <w:r>
        <w:rPr>
          <w:i/>
          <w:iCs/>
        </w:rPr>
        <w:t>eficiencia de la respuesta autonómica</w:t>
      </w:r>
      <w:r>
        <w:t xml:space="preserve"> (capturada por el ARI). Esta bidimensionalidad resuena con modelos previos del SAOS como sistema estímulo–respuesta</w:t>
      </w:r>
      <w:r>
        <w:rPr>
          <w:sz w:val="18"/>
          <w:szCs w:val="18"/>
          <w:vertAlign w:val="superscript"/>
        </w:rPr>
        <w:t>[14]</w:t>
      </w:r>
      <w:r>
        <w:t>, y podría ser relevante para la estratificación de riesgo más allá de los índices convencionales.</w:t>
      </w:r>
    </w:p>
    <w:p w14:paraId="59978C04" w14:textId="77777777" w:rsidR="00031D96" w:rsidRDefault="00000000">
      <w:pPr>
        <w:spacing w:after="160" w:line="276" w:lineRule="auto"/>
        <w:jc w:val="both"/>
      </w:pPr>
      <w:r>
        <w:t xml:space="preserve">El fenómeno del </w:t>
      </w:r>
      <w:r>
        <w:rPr>
          <w:i/>
          <w:iCs/>
        </w:rPr>
        <w:t>silencio autonómico</w:t>
      </w:r>
      <w:r>
        <w:t xml:space="preserve"> observado en C5 —ganancia de FC de 0.04 lpm/pp, prácticamente nula a pesar de nadires de −15 pp— merece particular atención. Una respuesta autonómica atenuada ante hipoxia severa podría reflejar adaptación crónica del sistema nervioso autónomo, deterioro de la sensibilidad de quimiorreceptores, o fatiga central del arco reflejo del arousal</w:t>
      </w:r>
      <w:r>
        <w:rPr>
          <w:sz w:val="18"/>
          <w:szCs w:val="18"/>
          <w:vertAlign w:val="superscript"/>
        </w:rPr>
        <w:t>[15]</w:t>
      </w:r>
      <w:r>
        <w:t>. Cualquiera de estos mecanismos tendría implicancias diferentes para el riesgo cardiovascular y la respuesta al tratamiento.</w:t>
      </w:r>
    </w:p>
    <w:p w14:paraId="25E368C5" w14:textId="77777777" w:rsidR="00031D96" w:rsidRDefault="00000000">
      <w:pPr>
        <w:spacing w:after="160" w:line="276" w:lineRule="auto"/>
        <w:jc w:val="both"/>
      </w:pPr>
      <w:r>
        <w:t>La validación multi-noche refuerza la utilidad del monitoreo domiciliario longitudinal. Los CV de ODI3 de 27–33% son comparables a los reportados para el AHI en estudios de variabilidad inter-noche</w:t>
      </w:r>
      <w:r>
        <w:rPr>
          <w:sz w:val="18"/>
          <w:szCs w:val="18"/>
          <w:vertAlign w:val="superscript"/>
        </w:rPr>
        <w:t>[8,9]</w:t>
      </w:r>
      <w:r>
        <w:t>, confirmando que la variabilidad observada es biológica y no artefactual. La convergencia de las métricas a partir de 3–5 noches (error &lt;3 ev/h, concordancia categórica 100%) provee una guía práctica para diseños de monitoreo ambulatorio: tres noches son suficientes para una clasificación robusta.</w:t>
      </w:r>
    </w:p>
    <w:p w14:paraId="203715F3" w14:textId="77777777" w:rsidR="00031D96" w:rsidRDefault="00000000">
      <w:pPr>
        <w:spacing w:after="200" w:line="276" w:lineRule="auto"/>
        <w:jc w:val="both"/>
      </w:pPr>
      <w:r>
        <w:t>El presente estudio tiene varias limitaciones que deben considerarse. Primero, el tamaño de la cohorte (n=12) limita la generalización de los hallazgos y la potencia estadística para análisis de subgrupos. Segundo, la ausencia de PSG impide la validación externa de los morfotipos y del ARI contra parámetros estándar del sueño como el arousal index o los estadios de sueño. Tercero, el dispositivo SOMNI 6000 no ha sido formalmente validado para el diagnóstico de SAOS, aunque opera en la condición placebo del estudio. Cuarto, la definición de los morfotipos se basó en la curva de SpO₂, sin incorporar información sobre esfuerzo respiratorio o flujo oronasal, lo que puede resultar en clusters que mezclan apneas con hipopneas de similar morfología de desaturación. Estudios futuros con PSG concurrente y mayor n permitirán validar externamente estas propuestas.</w:t>
      </w:r>
    </w:p>
    <w:p w14:paraId="7C51D095" w14:textId="77777777" w:rsidR="00031D96" w:rsidRDefault="00000000">
      <w:pPr>
        <w:pStyle w:val="Ttulo1"/>
      </w:pPr>
      <w:r>
        <w:lastRenderedPageBreak/>
        <w:t>5. Conclusión</w:t>
      </w:r>
    </w:p>
    <w:p w14:paraId="69BBE501" w14:textId="77777777" w:rsidR="00031D96" w:rsidRDefault="00000000">
      <w:pPr>
        <w:spacing w:after="160" w:line="276" w:lineRule="auto"/>
        <w:jc w:val="both"/>
      </w:pPr>
      <w:r>
        <w:t>Los eventos de desaturación nocturna no son morfológicamente homogéneos. El análisis data-driven de 85.277 EDOs identificó cinco fenotipos reproducibles (C1–C5) que difieren en profundidad, dinámica temporal y respuesta autonómica asociada. Esta heterogeneidad morfológica es invisible para los índices convencionales basados en frecuencia o amplitud global.</w:t>
      </w:r>
    </w:p>
    <w:p w14:paraId="684D4162" w14:textId="77777777" w:rsidR="00031D96" w:rsidRDefault="00000000">
      <w:pPr>
        <w:spacing w:after="160" w:line="276" w:lineRule="auto"/>
        <w:jc w:val="both"/>
      </w:pPr>
      <w:r>
        <w:t>El Índice de Respuesta Autonómica (ARI) emerge como una dimensión fisiológica ortogonal a la severidad hipóxica (ρ=0.034) que diferencia pacientes con cargas hipóxicas equivalentes. El silencio autonómico observado en los eventos más severos plantea una hipótesis clínica relevante sobre el agotamiento reflejo en el SAOS crónico.</w:t>
      </w:r>
    </w:p>
    <w:p w14:paraId="76D24DA0" w14:textId="77777777" w:rsidR="00031D96" w:rsidRDefault="00000000">
      <w:pPr>
        <w:spacing w:after="200" w:line="276" w:lineRule="auto"/>
        <w:jc w:val="both"/>
      </w:pPr>
      <w:r>
        <w:t>La validación multi-noche confirma que el monitoreo domiciliario longitudinal de 3–5 noches es suficiente para obtener estimaciones estables de los fenotipos morfológicos y autonómicos propuestos. Estos hallazgos justifican la incorporación de información morfológica y autonómica como complemento —no sustituto— de los índices clásicos en la evaluación de los trastornos respiratorios del sueño.</w:t>
      </w:r>
    </w:p>
    <w:p w14:paraId="7CF8EB15" w14:textId="77777777" w:rsidR="00031D96" w:rsidRDefault="00000000">
      <w:pPr>
        <w:pStyle w:val="Ttulo1"/>
      </w:pPr>
      <w:r>
        <w:t>Declaraciones</w:t>
      </w:r>
    </w:p>
    <w:p w14:paraId="745F7D7C" w14:textId="77777777" w:rsidR="00031D96" w:rsidRDefault="00000000">
      <w:pPr>
        <w:spacing w:after="80" w:line="276" w:lineRule="auto"/>
        <w:jc w:val="both"/>
      </w:pPr>
      <w:r>
        <w:rPr>
          <w:b/>
          <w:bCs/>
          <w:sz w:val="22"/>
          <w:szCs w:val="22"/>
        </w:rPr>
        <w:t xml:space="preserve">Financiación: </w:t>
      </w:r>
      <w:r>
        <w:rPr>
          <w:sz w:val="22"/>
          <w:szCs w:val="22"/>
        </w:rPr>
        <w:t>Trabajo de tesis de la Maestría en Data Science, Universidad Austral. Sin financiación externa.</w:t>
      </w:r>
    </w:p>
    <w:p w14:paraId="0E5DFDCE" w14:textId="77777777" w:rsidR="00031D96" w:rsidRDefault="00000000">
      <w:pPr>
        <w:spacing w:after="80" w:line="276" w:lineRule="auto"/>
        <w:jc w:val="both"/>
      </w:pPr>
      <w:r>
        <w:rPr>
          <w:b/>
          <w:bCs/>
          <w:sz w:val="22"/>
          <w:szCs w:val="22"/>
        </w:rPr>
        <w:t xml:space="preserve">Conflicto de intereses: </w:t>
      </w:r>
      <w:r>
        <w:rPr>
          <w:sz w:val="22"/>
          <w:szCs w:val="22"/>
        </w:rPr>
        <w:t>El autor declara no tener conflictos de intereses.</w:t>
      </w:r>
    </w:p>
    <w:p w14:paraId="46DE6FC6" w14:textId="77777777" w:rsidR="00031D96" w:rsidRDefault="00000000">
      <w:pPr>
        <w:spacing w:after="80" w:line="276" w:lineRule="auto"/>
        <w:jc w:val="both"/>
      </w:pPr>
      <w:r>
        <w:rPr>
          <w:b/>
          <w:bCs/>
          <w:sz w:val="22"/>
          <w:szCs w:val="22"/>
        </w:rPr>
        <w:t xml:space="preserve">Disponibilidad de datos: </w:t>
      </w:r>
      <w:r>
        <w:rPr>
          <w:sz w:val="22"/>
          <w:szCs w:val="22"/>
        </w:rPr>
        <w:t>Los datos crudos son confidenciales (datos de salud). El pipeline PAC_v2 y los scripts de análisis están disponibles para evaluación académica bajo solicitud.</w:t>
      </w:r>
    </w:p>
    <w:p w14:paraId="5E72D1A6" w14:textId="77777777" w:rsidR="00031D96" w:rsidRDefault="00000000">
      <w:pPr>
        <w:spacing w:after="200" w:line="276" w:lineRule="auto"/>
        <w:jc w:val="both"/>
      </w:pPr>
      <w:r>
        <w:rPr>
          <w:b/>
          <w:bCs/>
          <w:sz w:val="22"/>
          <w:szCs w:val="22"/>
        </w:rPr>
        <w:t xml:space="preserve">Aprobación ética: </w:t>
      </w:r>
      <w:r>
        <w:rPr>
          <w:sz w:val="22"/>
          <w:szCs w:val="22"/>
        </w:rPr>
        <w:t>Los datos fueron anonimizados. El estudio se realizó en conformidad con la Declaración de Helsinki.</w:t>
      </w:r>
    </w:p>
    <w:p w14:paraId="75E1BB85" w14:textId="77777777" w:rsidR="00031D96" w:rsidRDefault="00000000">
      <w:r>
        <w:br w:type="page"/>
      </w:r>
    </w:p>
    <w:p w14:paraId="6FE3E4EF" w14:textId="77777777" w:rsidR="00031D96" w:rsidRDefault="00000000">
      <w:pPr>
        <w:pStyle w:val="Ttulo1"/>
      </w:pPr>
      <w:r>
        <w:lastRenderedPageBreak/>
        <w:t>Referencias</w:t>
      </w:r>
    </w:p>
    <w:p w14:paraId="14D29C30" w14:textId="77777777" w:rsidR="00031D96" w:rsidRDefault="00000000">
      <w:pPr>
        <w:spacing w:before="60" w:after="60" w:line="276" w:lineRule="auto"/>
        <w:ind w:left="720" w:hanging="720"/>
      </w:pPr>
      <w:r>
        <w:rPr>
          <w:b/>
          <w:bCs/>
          <w:sz w:val="20"/>
          <w:szCs w:val="20"/>
        </w:rPr>
        <w:t xml:space="preserve">1. </w:t>
      </w:r>
      <w:r>
        <w:rPr>
          <w:sz w:val="20"/>
          <w:szCs w:val="20"/>
        </w:rPr>
        <w:t>Young T, Palta M, Dempsey J, Skatrud J, Weber S, Badr S. The occurrence of sleep-disordered breathing among middle-aged adults. N Engl J Med. 1993;328(17):1230–1235. https://doi.org/10.1056/NEJM199304293281704</w:t>
      </w:r>
    </w:p>
    <w:p w14:paraId="6EBE9E8C" w14:textId="77777777" w:rsidR="00031D96" w:rsidRDefault="00000000">
      <w:pPr>
        <w:spacing w:before="60" w:after="60" w:line="276" w:lineRule="auto"/>
        <w:ind w:left="720" w:hanging="720"/>
      </w:pPr>
      <w:r>
        <w:rPr>
          <w:b/>
          <w:bCs/>
          <w:sz w:val="20"/>
          <w:szCs w:val="20"/>
        </w:rPr>
        <w:t xml:space="preserve">2. </w:t>
      </w:r>
      <w:r>
        <w:rPr>
          <w:sz w:val="20"/>
          <w:szCs w:val="20"/>
        </w:rPr>
        <w:t>Peppard PE, Young T, Barnet JH, Palta M, Hagen EW, Hla KM. Increased prevalence of sleep-disordered breathing in adults. Am J Epidemiol. 2013;177(9):1006–1014. https://doi.org/10.1093/aje/kws342</w:t>
      </w:r>
    </w:p>
    <w:p w14:paraId="21D55B25" w14:textId="77777777" w:rsidR="00031D96" w:rsidRDefault="00000000">
      <w:pPr>
        <w:spacing w:before="60" w:after="60" w:line="276" w:lineRule="auto"/>
        <w:ind w:left="720" w:hanging="720"/>
      </w:pPr>
      <w:r>
        <w:rPr>
          <w:b/>
          <w:bCs/>
          <w:sz w:val="20"/>
          <w:szCs w:val="20"/>
        </w:rPr>
        <w:t xml:space="preserve">3. </w:t>
      </w:r>
      <w:r>
        <w:rPr>
          <w:sz w:val="20"/>
          <w:szCs w:val="20"/>
        </w:rPr>
        <w:t>Punjabi NM, Caffo BS, Goodwin JL, et al. Sleep-disordered breathing and mortality: a prospective cohort study. PLoS Med. 2009;6(8):e1000132. https://doi.org/10.1371/journal.pmed.1000132</w:t>
      </w:r>
    </w:p>
    <w:p w14:paraId="11165EB4" w14:textId="77777777" w:rsidR="00031D96" w:rsidRDefault="00000000">
      <w:pPr>
        <w:spacing w:before="60" w:after="60" w:line="276" w:lineRule="auto"/>
        <w:ind w:left="720" w:hanging="720"/>
      </w:pPr>
      <w:r>
        <w:rPr>
          <w:b/>
          <w:bCs/>
          <w:sz w:val="20"/>
          <w:szCs w:val="20"/>
        </w:rPr>
        <w:t xml:space="preserve">4. </w:t>
      </w:r>
      <w:r>
        <w:rPr>
          <w:sz w:val="20"/>
          <w:szCs w:val="20"/>
        </w:rPr>
        <w:t>Berry RB, Brooks R, Gamaldo CE, et al. AASM Manual for the Scoring of Sleep and Associated Events: Rules, Terminology and Technical Specifications. Version 2.6. Darien, IL: American Academy of Sleep Medicine; 2020.</w:t>
      </w:r>
    </w:p>
    <w:p w14:paraId="223BE513" w14:textId="77777777" w:rsidR="00031D96" w:rsidRDefault="00000000">
      <w:pPr>
        <w:spacing w:before="60" w:after="60" w:line="276" w:lineRule="auto"/>
        <w:ind w:left="720" w:hanging="720"/>
      </w:pPr>
      <w:r>
        <w:rPr>
          <w:b/>
          <w:bCs/>
          <w:sz w:val="20"/>
          <w:szCs w:val="20"/>
        </w:rPr>
        <w:t xml:space="preserve">5. </w:t>
      </w:r>
      <w:r>
        <w:rPr>
          <w:sz w:val="20"/>
          <w:szCs w:val="20"/>
        </w:rPr>
        <w:t>Azarbarzin A, Sands SA, Stone KL, et al. The hypoxic burden of sleep apnoea predicts cardiovascular disease-related mortality: the Osteoporotic Fractures in Men Study and the Sleep Heart Health Study. Eur Heart J. 2019;40(14):1149–1157. https://doi.org/10.1093/eurheartj/ehy624</w:t>
      </w:r>
    </w:p>
    <w:p w14:paraId="6ECFE0E4" w14:textId="77777777" w:rsidR="00031D96" w:rsidRDefault="00000000">
      <w:pPr>
        <w:spacing w:before="60" w:after="60" w:line="276" w:lineRule="auto"/>
        <w:ind w:left="720" w:hanging="720"/>
      </w:pPr>
      <w:r>
        <w:rPr>
          <w:b/>
          <w:bCs/>
          <w:sz w:val="20"/>
          <w:szCs w:val="20"/>
        </w:rPr>
        <w:t xml:space="preserve">6. </w:t>
      </w:r>
      <w:r>
        <w:rPr>
          <w:sz w:val="20"/>
          <w:szCs w:val="20"/>
        </w:rPr>
        <w:t>Marin JM, Carrizo SJ, Vicente E, Agusti AG. Long-term cardiovascular outcomes in men with obstructive sleep apnoea-hypopnoea with or without treatment with continuous positive airway pressure: an observational study. Lancet. 2005;365(9464):1046–1053. https://doi.org/10.1016/S0140-6736(05)71141-7</w:t>
      </w:r>
    </w:p>
    <w:p w14:paraId="37F3869C" w14:textId="77777777" w:rsidR="00031D96" w:rsidRDefault="00000000">
      <w:pPr>
        <w:spacing w:before="60" w:after="60" w:line="276" w:lineRule="auto"/>
        <w:ind w:left="720" w:hanging="720"/>
      </w:pPr>
      <w:r>
        <w:rPr>
          <w:b/>
          <w:bCs/>
          <w:sz w:val="20"/>
          <w:szCs w:val="20"/>
        </w:rPr>
        <w:t xml:space="preserve">7. </w:t>
      </w:r>
      <w:r>
        <w:rPr>
          <w:sz w:val="20"/>
          <w:szCs w:val="20"/>
        </w:rPr>
        <w:t>Collop NA, Anderson WM, Boehlecke B, et al. Clinical guidelines for the use of unattended portable monitors in the diagnosis of obstructive sleep apnea in adult patients. J Clin Sleep Med. 2007;3(7):737–747. https://doi.org/10.5664/jcsm.26925</w:t>
      </w:r>
    </w:p>
    <w:p w14:paraId="147FEB36" w14:textId="77777777" w:rsidR="00031D96" w:rsidRDefault="00000000">
      <w:pPr>
        <w:spacing w:before="60" w:after="60" w:line="276" w:lineRule="auto"/>
        <w:ind w:left="720" w:hanging="720"/>
      </w:pPr>
      <w:r>
        <w:rPr>
          <w:b/>
          <w:bCs/>
          <w:sz w:val="20"/>
          <w:szCs w:val="20"/>
        </w:rPr>
        <w:t xml:space="preserve">8. </w:t>
      </w:r>
      <w:r>
        <w:rPr>
          <w:sz w:val="20"/>
          <w:szCs w:val="20"/>
        </w:rPr>
        <w:t>Bittencourt LR, Suchecki D, Tufik S, et al. The variability of the apnoea-hypopnoea index. J Sleep Res. 2001;10(3):245–251. https://doi.org/10.1046/j.1365-2869.2001.00255.x</w:t>
      </w:r>
    </w:p>
    <w:p w14:paraId="0A6F369C" w14:textId="77777777" w:rsidR="00031D96" w:rsidRDefault="00000000">
      <w:pPr>
        <w:spacing w:before="60" w:after="60" w:line="276" w:lineRule="auto"/>
        <w:ind w:left="720" w:hanging="720"/>
      </w:pPr>
      <w:r>
        <w:rPr>
          <w:b/>
          <w:bCs/>
          <w:sz w:val="20"/>
          <w:szCs w:val="20"/>
        </w:rPr>
        <w:t xml:space="preserve">9. </w:t>
      </w:r>
      <w:r>
        <w:rPr>
          <w:sz w:val="20"/>
          <w:szCs w:val="20"/>
        </w:rPr>
        <w:t>Levendowski DJ, Zack N, Rao S, et al. Assessment of the test-retest reliability of laboratory polysomnography. Sleep Breath. 2009;13(2):163–167. https://doi.org/10.1007/s11325-008-0214-6</w:t>
      </w:r>
    </w:p>
    <w:p w14:paraId="678EB6CB" w14:textId="77777777" w:rsidR="00031D96" w:rsidRDefault="00000000">
      <w:pPr>
        <w:spacing w:before="60" w:after="60" w:line="276" w:lineRule="auto"/>
        <w:ind w:left="720" w:hanging="720"/>
      </w:pPr>
      <w:r>
        <w:rPr>
          <w:b/>
          <w:bCs/>
          <w:sz w:val="20"/>
          <w:szCs w:val="20"/>
        </w:rPr>
        <w:t xml:space="preserve">10. </w:t>
      </w:r>
      <w:r>
        <w:rPr>
          <w:sz w:val="20"/>
          <w:szCs w:val="20"/>
        </w:rPr>
        <w:t>Jolliffe IT. Principal Component Analysis. 2nd ed. New York: Springer; 2002. https://doi.org/10.1007/b98835</w:t>
      </w:r>
    </w:p>
    <w:p w14:paraId="69076575" w14:textId="77777777" w:rsidR="00031D96" w:rsidRDefault="00000000">
      <w:pPr>
        <w:spacing w:before="60" w:after="60" w:line="276" w:lineRule="auto"/>
        <w:ind w:left="720" w:hanging="720"/>
      </w:pPr>
      <w:r>
        <w:rPr>
          <w:b/>
          <w:bCs/>
          <w:sz w:val="20"/>
          <w:szCs w:val="20"/>
        </w:rPr>
        <w:t xml:space="preserve">11. </w:t>
      </w:r>
      <w:r>
        <w:rPr>
          <w:sz w:val="20"/>
          <w:szCs w:val="20"/>
        </w:rPr>
        <w:t>Hartigan JA, Wong MA. Algorithm AS 136: A K-Means Clustering Algorithm. J R Stat Soc Ser C Appl Stat. 1979;28(1):100–108. https://doi.org/10.2307/2346830</w:t>
      </w:r>
    </w:p>
    <w:p w14:paraId="5BCC1FEE" w14:textId="77777777" w:rsidR="00031D96" w:rsidRDefault="00000000">
      <w:pPr>
        <w:spacing w:before="60" w:after="60" w:line="276" w:lineRule="auto"/>
        <w:ind w:left="720" w:hanging="720"/>
      </w:pPr>
      <w:r>
        <w:rPr>
          <w:b/>
          <w:bCs/>
          <w:sz w:val="20"/>
          <w:szCs w:val="20"/>
        </w:rPr>
        <w:t xml:space="preserve">12. </w:t>
      </w:r>
      <w:r>
        <w:rPr>
          <w:sz w:val="20"/>
          <w:szCs w:val="20"/>
        </w:rPr>
        <w:t>Shrout PE, Fleiss JL. Intraclass correlations: uses in assessing rater reliability. Psychol Bull. 1979;86(2):420–428. https://doi.org/10.1037/0033-2909.86.2.420</w:t>
      </w:r>
    </w:p>
    <w:p w14:paraId="40F1D2EA" w14:textId="77777777" w:rsidR="00031D96" w:rsidRDefault="00000000">
      <w:pPr>
        <w:spacing w:before="60" w:after="60" w:line="276" w:lineRule="auto"/>
        <w:ind w:left="720" w:hanging="720"/>
      </w:pPr>
      <w:r>
        <w:rPr>
          <w:b/>
          <w:bCs/>
          <w:sz w:val="20"/>
          <w:szCs w:val="20"/>
        </w:rPr>
        <w:t xml:space="preserve">13. </w:t>
      </w:r>
      <w:r>
        <w:rPr>
          <w:sz w:val="20"/>
          <w:szCs w:val="20"/>
        </w:rPr>
        <w:t>Bland JM, Altman DG. Statistical methods for assessing agreement between two methods of clinical measurement. Lancet. 1986;1(8476):307–310. https://doi.org/10.1016/S0140-6736(86)90837-8</w:t>
      </w:r>
    </w:p>
    <w:p w14:paraId="1835329A" w14:textId="77777777" w:rsidR="00031D96" w:rsidRDefault="00000000">
      <w:pPr>
        <w:spacing w:before="60" w:after="60" w:line="276" w:lineRule="auto"/>
        <w:ind w:left="720" w:hanging="720"/>
      </w:pPr>
      <w:r>
        <w:rPr>
          <w:b/>
          <w:bCs/>
          <w:sz w:val="20"/>
          <w:szCs w:val="20"/>
        </w:rPr>
        <w:t xml:space="preserve">14. </w:t>
      </w:r>
      <w:r>
        <w:rPr>
          <w:sz w:val="20"/>
          <w:szCs w:val="20"/>
        </w:rPr>
        <w:t>Somers VK, Dyken ME, Mark AL, Abboud FM. Sympathetic-nerve activity during sleep in normal subjects. N Engl J Med. 1993;328(5):303–307. https://doi.org/10.1056/NEJM199302043280502</w:t>
      </w:r>
    </w:p>
    <w:p w14:paraId="4BE2FE62" w14:textId="77777777" w:rsidR="00031D96" w:rsidRDefault="00000000">
      <w:pPr>
        <w:spacing w:before="60" w:after="60" w:line="276" w:lineRule="auto"/>
        <w:ind w:left="720" w:hanging="720"/>
      </w:pPr>
      <w:r>
        <w:rPr>
          <w:b/>
          <w:bCs/>
          <w:sz w:val="20"/>
          <w:szCs w:val="20"/>
        </w:rPr>
        <w:t xml:space="preserve">15. </w:t>
      </w:r>
      <w:r>
        <w:rPr>
          <w:sz w:val="20"/>
          <w:szCs w:val="20"/>
        </w:rPr>
        <w:t>Dempsey JA, Veasey SC, Morgan BJ, O'Donnell CP. Pathophysiology of sleep apnea. Physiol Rev. 2010;90(1):47–112. https://doi.org/10.1152/physrev.00043.2008</w:t>
      </w:r>
    </w:p>
    <w:p w14:paraId="5E45D788" w14:textId="77777777" w:rsidR="00031D96" w:rsidRDefault="00000000">
      <w:pPr>
        <w:spacing w:before="60" w:after="60" w:line="276" w:lineRule="auto"/>
        <w:ind w:left="720" w:hanging="720"/>
      </w:pPr>
      <w:r>
        <w:rPr>
          <w:b/>
          <w:bCs/>
          <w:sz w:val="20"/>
          <w:szCs w:val="20"/>
        </w:rPr>
        <w:t xml:space="preserve">16. </w:t>
      </w:r>
      <w:r>
        <w:rPr>
          <w:sz w:val="20"/>
          <w:szCs w:val="20"/>
        </w:rPr>
        <w:t>Shamsuzzaman AS, Gersh BJ, Somers VK. Obstructive sleep apnea: implications for cardiac and vascular disease. JAMA. 2003;290(14):1906–1914. https://doi.org/10.1001/jama.290.14.1906</w:t>
      </w:r>
    </w:p>
    <w:p w14:paraId="386A65C2" w14:textId="77777777" w:rsidR="00031D96" w:rsidRDefault="00000000">
      <w:pPr>
        <w:spacing w:before="60" w:after="60" w:line="276" w:lineRule="auto"/>
        <w:ind w:left="720" w:hanging="720"/>
      </w:pPr>
      <w:r>
        <w:rPr>
          <w:b/>
          <w:bCs/>
          <w:sz w:val="20"/>
          <w:szCs w:val="20"/>
        </w:rPr>
        <w:t xml:space="preserve">17. </w:t>
      </w:r>
      <w:r>
        <w:rPr>
          <w:sz w:val="20"/>
          <w:szCs w:val="20"/>
        </w:rPr>
        <w:t>Narkiewicz K, Somers VK. Sympathetic nerve activity in obstructive sleep apnoea. Acta Physiol Scand. 2003;177(3):385–390. https://doi.org/10.1046/j.1365-201X.2003.01091.x</w:t>
      </w:r>
    </w:p>
    <w:p w14:paraId="64CE85C9" w14:textId="77777777" w:rsidR="00031D96" w:rsidRDefault="00000000">
      <w:pPr>
        <w:spacing w:before="60" w:after="60" w:line="276" w:lineRule="auto"/>
        <w:ind w:left="720" w:hanging="720"/>
      </w:pPr>
      <w:r>
        <w:rPr>
          <w:b/>
          <w:bCs/>
          <w:sz w:val="20"/>
          <w:szCs w:val="20"/>
        </w:rPr>
        <w:t xml:space="preserve">18. </w:t>
      </w:r>
      <w:r>
        <w:rPr>
          <w:sz w:val="20"/>
          <w:szCs w:val="20"/>
        </w:rPr>
        <w:t>Sands SA, Eckert DJ, Jordan AS, et al. Enhanced upper-airway muscle responsiveness is a distinct feature of overweight/obese individuals without sleep apnea. Am J Respir Crit Care Med. 2014;190(8):930–937. https://doi.org/10.1164/rccm.201404-0783OC</w:t>
      </w:r>
    </w:p>
    <w:p w14:paraId="61EF66B4" w14:textId="77777777" w:rsidR="00031D96" w:rsidRDefault="00000000">
      <w:pPr>
        <w:spacing w:before="60" w:after="60" w:line="276" w:lineRule="auto"/>
        <w:ind w:left="720" w:hanging="720"/>
      </w:pPr>
      <w:r>
        <w:rPr>
          <w:b/>
          <w:bCs/>
          <w:sz w:val="20"/>
          <w:szCs w:val="20"/>
        </w:rPr>
        <w:t xml:space="preserve">19. </w:t>
      </w:r>
      <w:r>
        <w:rPr>
          <w:sz w:val="20"/>
          <w:szCs w:val="20"/>
        </w:rPr>
        <w:t>Pedregosa F, Varoquaux G, Gramfort A, et al. Scikit-learn: Machine Learning in Python. J Mach Learn Res. 2011;12:2825–2830. https://jmlr.org/papers/v12/pedregosa11a.html</w:t>
      </w:r>
    </w:p>
    <w:p w14:paraId="3843FCCE" w14:textId="77777777" w:rsidR="00031D96" w:rsidRDefault="00000000">
      <w:pPr>
        <w:spacing w:before="60" w:after="60" w:line="276" w:lineRule="auto"/>
        <w:ind w:left="720" w:hanging="720"/>
      </w:pPr>
      <w:r>
        <w:rPr>
          <w:b/>
          <w:bCs/>
          <w:sz w:val="20"/>
          <w:szCs w:val="20"/>
        </w:rPr>
        <w:lastRenderedPageBreak/>
        <w:t xml:space="preserve">20. </w:t>
      </w:r>
      <w:r>
        <w:rPr>
          <w:sz w:val="20"/>
          <w:szCs w:val="20"/>
        </w:rPr>
        <w:t>Virtanen P, Gommers R, Oliphant TE, et al. SciPy 1.0: fundamental algorithms for scientific computing in Python. Nat Methods. 2020;17(3):261–272. https://doi.org/10.1038/s41592-019-0686-2</w:t>
      </w:r>
    </w:p>
    <w:p w14:paraId="23463684" w14:textId="77777777" w:rsidR="00031D96" w:rsidRDefault="00031D96">
      <w:pPr>
        <w:spacing w:before="400"/>
      </w:pPr>
    </w:p>
    <w:sectPr w:rsidR="00031D96">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63505" w14:textId="77777777" w:rsidR="00306BD0" w:rsidRDefault="00306BD0">
      <w:r>
        <w:separator/>
      </w:r>
    </w:p>
  </w:endnote>
  <w:endnote w:type="continuationSeparator" w:id="0">
    <w:p w14:paraId="52A8DFF2" w14:textId="77777777" w:rsidR="00306BD0" w:rsidRDefault="00306B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altName w:val="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05EA4" w14:textId="77777777" w:rsidR="00031D96" w:rsidRDefault="00000000">
    <w:pPr>
      <w:pBdr>
        <w:top w:val="single" w:sz="4" w:space="4" w:color="2E75B6"/>
      </w:pBdr>
      <w:jc w:val="center"/>
    </w:pPr>
    <w:r>
      <w:rPr>
        <w:color w:val="888888"/>
        <w:sz w:val="18"/>
        <w:szCs w:val="18"/>
      </w:rPr>
      <w:t xml:space="preserve">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78321A">
      <w:rPr>
        <w:noProof/>
        <w:color w:val="888888"/>
        <w:sz w:val="18"/>
        <w:szCs w:val="18"/>
      </w:rPr>
      <w:t>1</w:t>
    </w:r>
    <w:r>
      <w:rPr>
        <w:color w:val="888888"/>
        <w:sz w:val="18"/>
        <w:szCs w:val="18"/>
      </w:rPr>
      <w:fldChar w:fldCharType="end"/>
    </w:r>
    <w:r>
      <w:rPr>
        <w:color w:val="888888"/>
        <w:sz w:val="18"/>
        <w:szCs w:val="18"/>
      </w:rPr>
      <w:t xml:space="preserve"> de </w:t>
    </w:r>
    <w:r>
      <w:rPr>
        <w:color w:val="888888"/>
        <w:sz w:val="18"/>
        <w:szCs w:val="18"/>
      </w:rPr>
      <w:fldChar w:fldCharType="begin"/>
    </w:r>
    <w:r>
      <w:rPr>
        <w:color w:val="888888"/>
        <w:sz w:val="18"/>
        <w:szCs w:val="18"/>
      </w:rPr>
      <w:instrText>NUMPAGES</w:instrText>
    </w:r>
    <w:r>
      <w:rPr>
        <w:color w:val="888888"/>
        <w:sz w:val="18"/>
        <w:szCs w:val="18"/>
      </w:rPr>
      <w:fldChar w:fldCharType="separate"/>
    </w:r>
    <w:r w:rsidR="0078321A">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18AEE" w14:textId="77777777" w:rsidR="00306BD0" w:rsidRDefault="00306BD0">
      <w:r>
        <w:separator/>
      </w:r>
    </w:p>
  </w:footnote>
  <w:footnote w:type="continuationSeparator" w:id="0">
    <w:p w14:paraId="7E949E43" w14:textId="77777777" w:rsidR="00306BD0" w:rsidRDefault="00306B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5CE01" w14:textId="77777777" w:rsidR="00031D96" w:rsidRDefault="00000000">
    <w:pPr>
      <w:pBdr>
        <w:bottom w:val="single" w:sz="4" w:space="4" w:color="2E75B6"/>
      </w:pBdr>
      <w:jc w:val="right"/>
    </w:pPr>
    <w:r>
      <w:rPr>
        <w:color w:val="888888"/>
        <w:sz w:val="18"/>
        <w:szCs w:val="18"/>
      </w:rPr>
      <w:t>Inza R. | PAC_v2 | Tesis de Maestría — Mayo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E1C13"/>
    <w:multiLevelType w:val="hybridMultilevel"/>
    <w:tmpl w:val="726C2692"/>
    <w:lvl w:ilvl="0" w:tplc="277AE566">
      <w:start w:val="1"/>
      <w:numFmt w:val="decimal"/>
      <w:lvlText w:val="%1."/>
      <w:lvlJc w:val="left"/>
      <w:pPr>
        <w:ind w:left="720" w:hanging="360"/>
      </w:pPr>
    </w:lvl>
    <w:lvl w:ilvl="1" w:tplc="03948600">
      <w:numFmt w:val="decimal"/>
      <w:lvlText w:val=""/>
      <w:lvlJc w:val="left"/>
    </w:lvl>
    <w:lvl w:ilvl="2" w:tplc="3EFCA7EC">
      <w:numFmt w:val="decimal"/>
      <w:lvlText w:val=""/>
      <w:lvlJc w:val="left"/>
    </w:lvl>
    <w:lvl w:ilvl="3" w:tplc="ABA0C4F4">
      <w:numFmt w:val="decimal"/>
      <w:lvlText w:val=""/>
      <w:lvlJc w:val="left"/>
    </w:lvl>
    <w:lvl w:ilvl="4" w:tplc="6C4288C4">
      <w:numFmt w:val="decimal"/>
      <w:lvlText w:val=""/>
      <w:lvlJc w:val="left"/>
    </w:lvl>
    <w:lvl w:ilvl="5" w:tplc="7130CAB6">
      <w:numFmt w:val="decimal"/>
      <w:lvlText w:val=""/>
      <w:lvlJc w:val="left"/>
    </w:lvl>
    <w:lvl w:ilvl="6" w:tplc="50343328">
      <w:numFmt w:val="decimal"/>
      <w:lvlText w:val=""/>
      <w:lvlJc w:val="left"/>
    </w:lvl>
    <w:lvl w:ilvl="7" w:tplc="FABC976A">
      <w:numFmt w:val="decimal"/>
      <w:lvlText w:val=""/>
      <w:lvlJc w:val="left"/>
    </w:lvl>
    <w:lvl w:ilvl="8" w:tplc="684E15DA">
      <w:numFmt w:val="decimal"/>
      <w:lvlText w:val=""/>
      <w:lvlJc w:val="left"/>
    </w:lvl>
  </w:abstractNum>
  <w:abstractNum w:abstractNumId="1" w15:restartNumberingAfterBreak="0">
    <w:nsid w:val="130A1BDD"/>
    <w:multiLevelType w:val="hybridMultilevel"/>
    <w:tmpl w:val="3F2266EC"/>
    <w:lvl w:ilvl="0" w:tplc="04DEFC06">
      <w:start w:val="1"/>
      <w:numFmt w:val="bullet"/>
      <w:lvlText w:val="●"/>
      <w:lvlJc w:val="left"/>
      <w:pPr>
        <w:ind w:left="720" w:hanging="360"/>
      </w:pPr>
    </w:lvl>
    <w:lvl w:ilvl="1" w:tplc="2C6ECE96">
      <w:start w:val="1"/>
      <w:numFmt w:val="bullet"/>
      <w:lvlText w:val="○"/>
      <w:lvlJc w:val="left"/>
      <w:pPr>
        <w:ind w:left="1440" w:hanging="360"/>
      </w:pPr>
    </w:lvl>
    <w:lvl w:ilvl="2" w:tplc="0406A15E">
      <w:start w:val="1"/>
      <w:numFmt w:val="bullet"/>
      <w:lvlText w:val="■"/>
      <w:lvlJc w:val="left"/>
      <w:pPr>
        <w:ind w:left="2160" w:hanging="360"/>
      </w:pPr>
    </w:lvl>
    <w:lvl w:ilvl="3" w:tplc="02B05554">
      <w:start w:val="1"/>
      <w:numFmt w:val="bullet"/>
      <w:lvlText w:val="●"/>
      <w:lvlJc w:val="left"/>
      <w:pPr>
        <w:ind w:left="2880" w:hanging="360"/>
      </w:pPr>
    </w:lvl>
    <w:lvl w:ilvl="4" w:tplc="08FE75FC">
      <w:start w:val="1"/>
      <w:numFmt w:val="bullet"/>
      <w:lvlText w:val="○"/>
      <w:lvlJc w:val="left"/>
      <w:pPr>
        <w:ind w:left="3600" w:hanging="360"/>
      </w:pPr>
    </w:lvl>
    <w:lvl w:ilvl="5" w:tplc="B872A4F0">
      <w:start w:val="1"/>
      <w:numFmt w:val="bullet"/>
      <w:lvlText w:val="■"/>
      <w:lvlJc w:val="left"/>
      <w:pPr>
        <w:ind w:left="4320" w:hanging="360"/>
      </w:pPr>
    </w:lvl>
    <w:lvl w:ilvl="6" w:tplc="05A62982">
      <w:start w:val="1"/>
      <w:numFmt w:val="bullet"/>
      <w:lvlText w:val="●"/>
      <w:lvlJc w:val="left"/>
      <w:pPr>
        <w:ind w:left="5040" w:hanging="360"/>
      </w:pPr>
    </w:lvl>
    <w:lvl w:ilvl="7" w:tplc="B64C342A">
      <w:start w:val="1"/>
      <w:numFmt w:val="bullet"/>
      <w:lvlText w:val="●"/>
      <w:lvlJc w:val="left"/>
      <w:pPr>
        <w:ind w:left="5760" w:hanging="360"/>
      </w:pPr>
    </w:lvl>
    <w:lvl w:ilvl="8" w:tplc="95B4AA3C">
      <w:start w:val="1"/>
      <w:numFmt w:val="bullet"/>
      <w:lvlText w:val="●"/>
      <w:lvlJc w:val="left"/>
      <w:pPr>
        <w:ind w:left="6480" w:hanging="360"/>
      </w:pPr>
    </w:lvl>
  </w:abstractNum>
  <w:abstractNum w:abstractNumId="2" w15:restartNumberingAfterBreak="0">
    <w:nsid w:val="2A485258"/>
    <w:multiLevelType w:val="hybridMultilevel"/>
    <w:tmpl w:val="850CBECC"/>
    <w:lvl w:ilvl="0" w:tplc="50EAA1BE">
      <w:start w:val="1"/>
      <w:numFmt w:val="bullet"/>
      <w:lvlText w:val="•"/>
      <w:lvlJc w:val="left"/>
      <w:pPr>
        <w:ind w:left="720" w:hanging="360"/>
      </w:pPr>
    </w:lvl>
    <w:lvl w:ilvl="1" w:tplc="9814CD56">
      <w:numFmt w:val="decimal"/>
      <w:lvlText w:val=""/>
      <w:lvlJc w:val="left"/>
    </w:lvl>
    <w:lvl w:ilvl="2" w:tplc="1A906FF8">
      <w:numFmt w:val="decimal"/>
      <w:lvlText w:val=""/>
      <w:lvlJc w:val="left"/>
    </w:lvl>
    <w:lvl w:ilvl="3" w:tplc="F6385942">
      <w:numFmt w:val="decimal"/>
      <w:lvlText w:val=""/>
      <w:lvlJc w:val="left"/>
    </w:lvl>
    <w:lvl w:ilvl="4" w:tplc="A850B16C">
      <w:numFmt w:val="decimal"/>
      <w:lvlText w:val=""/>
      <w:lvlJc w:val="left"/>
    </w:lvl>
    <w:lvl w:ilvl="5" w:tplc="2A149648">
      <w:numFmt w:val="decimal"/>
      <w:lvlText w:val=""/>
      <w:lvlJc w:val="left"/>
    </w:lvl>
    <w:lvl w:ilvl="6" w:tplc="F8021FF8">
      <w:numFmt w:val="decimal"/>
      <w:lvlText w:val=""/>
      <w:lvlJc w:val="left"/>
    </w:lvl>
    <w:lvl w:ilvl="7" w:tplc="C63C5E4E">
      <w:numFmt w:val="decimal"/>
      <w:lvlText w:val=""/>
      <w:lvlJc w:val="left"/>
    </w:lvl>
    <w:lvl w:ilvl="8" w:tplc="3F728A28">
      <w:numFmt w:val="decimal"/>
      <w:lvlText w:val=""/>
      <w:lvlJc w:val="left"/>
    </w:lvl>
  </w:abstractNum>
  <w:num w:numId="1" w16cid:durableId="5063330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D96"/>
    <w:rsid w:val="00031D96"/>
    <w:rsid w:val="00306BD0"/>
    <w:rsid w:val="00715779"/>
    <w:rsid w:val="0078321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1AF18840"/>
  <w15:docId w15:val="{BB071105-05A3-8841-BBEB-83150B87F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3864"/>
      <w:sz w:val="28"/>
      <w:szCs w:val="28"/>
    </w:rPr>
  </w:style>
  <w:style w:type="paragraph" w:styleId="Ttulo2">
    <w:name w:val="heading 2"/>
    <w:uiPriority w:val="9"/>
    <w:unhideWhenUsed/>
    <w:qFormat/>
    <w:pPr>
      <w:spacing w:before="280" w:after="140"/>
      <w:outlineLvl w:val="1"/>
    </w:pPr>
    <w:rPr>
      <w:b/>
      <w:bCs/>
      <w:color w:val="2E75B6"/>
      <w:sz w:val="26"/>
      <w:szCs w:val="26"/>
    </w:rPr>
  </w:style>
  <w:style w:type="paragraph" w:styleId="Ttulo3">
    <w:name w:val="heading 3"/>
    <w:uiPriority w:val="9"/>
    <w:unhideWhenUsed/>
    <w:qFormat/>
    <w:pPr>
      <w:spacing w:before="200" w:after="100"/>
      <w:outlineLvl w:val="2"/>
    </w:pPr>
    <w:rPr>
      <w:b/>
      <w:bCs/>
      <w:i/>
      <w:iCs/>
      <w:color w:val="2E75B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78321A"/>
    <w:pPr>
      <w:tabs>
        <w:tab w:val="center" w:pos="4419"/>
        <w:tab w:val="right" w:pos="8838"/>
      </w:tabs>
    </w:pPr>
  </w:style>
  <w:style w:type="character" w:customStyle="1" w:styleId="EncabezadoCar">
    <w:name w:val="Encabezado Car"/>
    <w:basedOn w:val="Fuentedeprrafopredeter"/>
    <w:link w:val="Encabezado"/>
    <w:uiPriority w:val="99"/>
    <w:rsid w:val="0078321A"/>
  </w:style>
  <w:style w:type="paragraph" w:styleId="Piedepgina">
    <w:name w:val="footer"/>
    <w:basedOn w:val="Normal"/>
    <w:link w:val="PiedepginaCar"/>
    <w:uiPriority w:val="99"/>
    <w:unhideWhenUsed/>
    <w:rsid w:val="0078321A"/>
    <w:pPr>
      <w:tabs>
        <w:tab w:val="center" w:pos="4419"/>
        <w:tab w:val="right" w:pos="8838"/>
      </w:tabs>
    </w:pPr>
  </w:style>
  <w:style w:type="character" w:customStyle="1" w:styleId="PiedepginaCar">
    <w:name w:val="Pie de página Car"/>
    <w:basedOn w:val="Fuentedeprrafopredeter"/>
    <w:link w:val="Piedepgina"/>
    <w:uiPriority w:val="99"/>
    <w:rsid w:val="007832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4184</Words>
  <Characters>24817</Characters>
  <Application>Microsoft Office Word</Application>
  <DocSecurity>0</DocSecurity>
  <Lines>620</Lines>
  <Paragraphs>381</Paragraphs>
  <ScaleCrop>false</ScaleCrop>
  <Company/>
  <LinksUpToDate>false</LinksUpToDate>
  <CharactersWithSpaces>28620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2026-05-18T20:20:00Z</dcterms:created>
  <dcterms:modified xsi:type="dcterms:W3CDTF">2026-05-18T20:28:00Z</dcterms:modified>
</cp:coreProperties>
</file>