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99F1" w14:textId="733352C3" w:rsidR="003348A7" w:rsidRPr="00F87621" w:rsidRDefault="00000000" w:rsidP="00F87621">
      <w:pPr>
        <w:spacing w:before="480" w:after="200" w:line="276" w:lineRule="auto"/>
        <w:jc w:val="center"/>
        <w:rPr>
          <w:rFonts w:asciiTheme="minorHAnsi" w:hAnsiTheme="minorHAnsi"/>
        </w:rPr>
      </w:pPr>
      <w:r w:rsidRPr="00F87621">
        <w:rPr>
          <w:rFonts w:asciiTheme="minorHAnsi" w:hAnsiTheme="minorHAnsi"/>
          <w:b/>
          <w:bCs/>
          <w:color w:val="1F3864"/>
          <w:sz w:val="36"/>
          <w:szCs w:val="36"/>
        </w:rPr>
        <w:t>Fenotipado morfológico y respuesta autonómica en eventos de desaturación nocturna: un enfoque</w:t>
      </w:r>
      <w:r w:rsidRPr="00F87621">
        <w:rPr>
          <w:rFonts w:asciiTheme="minorHAnsi" w:hAnsiTheme="minorHAnsi"/>
          <w:b/>
          <w:bCs/>
          <w:color w:val="002060"/>
          <w:sz w:val="36"/>
          <w:szCs w:val="36"/>
        </w:rPr>
        <w:t xml:space="preserve"> </w:t>
      </w:r>
      <w:r w:rsidR="00D144B7" w:rsidRPr="00F87621">
        <w:rPr>
          <w:rFonts w:asciiTheme="minorHAnsi" w:hAnsiTheme="minorHAnsi"/>
          <w:b/>
          <w:bCs/>
          <w:color w:val="002060"/>
          <w:sz w:val="36"/>
          <w:szCs w:val="36"/>
        </w:rPr>
        <w:t>basado en datos</w:t>
      </w:r>
      <w:r w:rsidRPr="00F87621">
        <w:rPr>
          <w:rFonts w:asciiTheme="minorHAnsi" w:hAnsiTheme="minorHAnsi"/>
          <w:b/>
          <w:bCs/>
          <w:color w:val="002060"/>
          <w:sz w:val="36"/>
          <w:szCs w:val="36"/>
        </w:rPr>
        <w:t xml:space="preserve"> más </w:t>
      </w:r>
      <w:r w:rsidRPr="00F87621">
        <w:rPr>
          <w:rFonts w:asciiTheme="minorHAnsi" w:hAnsiTheme="minorHAnsi"/>
          <w:b/>
          <w:bCs/>
          <w:color w:val="1F3864"/>
          <w:sz w:val="36"/>
          <w:szCs w:val="36"/>
        </w:rPr>
        <w:t>allá de los índices clásicos</w:t>
      </w:r>
    </w:p>
    <w:p w14:paraId="6592AF9B" w14:textId="77777777" w:rsidR="003348A7" w:rsidRPr="00F87621" w:rsidRDefault="00000000" w:rsidP="00F87621">
      <w:pPr>
        <w:spacing w:after="120" w:line="276" w:lineRule="auto"/>
        <w:jc w:val="center"/>
        <w:rPr>
          <w:rFonts w:asciiTheme="minorHAnsi" w:hAnsiTheme="minorHAnsi"/>
        </w:rPr>
      </w:pPr>
      <w:r w:rsidRPr="00F87621">
        <w:rPr>
          <w:rFonts w:asciiTheme="minorHAnsi" w:hAnsiTheme="minorHAnsi"/>
          <w:i/>
          <w:iCs/>
          <w:color w:val="444444"/>
          <w:sz w:val="22"/>
          <w:szCs w:val="22"/>
        </w:rPr>
        <w:t>Data-driven morphotyping of nocturnal oxygen desaturation events reveals distinct autonomic response phenotypes beyond traditional severity indices</w:t>
      </w:r>
    </w:p>
    <w:p w14:paraId="4767AD37" w14:textId="5BC74A63" w:rsidR="003348A7" w:rsidRPr="00F87621" w:rsidRDefault="00D144B7" w:rsidP="00F87621">
      <w:pPr>
        <w:spacing w:before="240" w:after="80" w:line="276" w:lineRule="auto"/>
        <w:jc w:val="center"/>
        <w:rPr>
          <w:rFonts w:asciiTheme="minorHAnsi" w:hAnsiTheme="minorHAnsi"/>
        </w:rPr>
      </w:pPr>
      <w:r w:rsidRPr="00F87621">
        <w:rPr>
          <w:rFonts w:asciiTheme="minorHAnsi" w:hAnsiTheme="minorHAnsi"/>
          <w:b/>
          <w:bCs/>
        </w:rPr>
        <w:t xml:space="preserve">Dr. </w:t>
      </w:r>
      <w:r w:rsidR="0024757C" w:rsidRPr="00F87621">
        <w:rPr>
          <w:rFonts w:asciiTheme="minorHAnsi" w:hAnsiTheme="minorHAnsi"/>
          <w:b/>
          <w:bCs/>
        </w:rPr>
        <w:t xml:space="preserve">Delia - Diego - </w:t>
      </w:r>
      <w:r w:rsidRPr="00F87621">
        <w:rPr>
          <w:rFonts w:asciiTheme="minorHAnsi" w:hAnsiTheme="minorHAnsi"/>
          <w:b/>
          <w:bCs/>
        </w:rPr>
        <w:t xml:space="preserve">Dr. </w:t>
      </w:r>
      <w:r w:rsidR="0024757C" w:rsidRPr="00F87621">
        <w:rPr>
          <w:rFonts w:asciiTheme="minorHAnsi" w:hAnsiTheme="minorHAnsi"/>
          <w:b/>
          <w:bCs/>
        </w:rPr>
        <w:t>Roberto Inza</w:t>
      </w:r>
    </w:p>
    <w:p w14:paraId="6F6D0400" w14:textId="0B140F1A" w:rsidR="003348A7" w:rsidRPr="00F87621" w:rsidRDefault="00000000" w:rsidP="00F87621">
      <w:pPr>
        <w:spacing w:after="80" w:line="276" w:lineRule="auto"/>
        <w:jc w:val="center"/>
        <w:rPr>
          <w:rFonts w:asciiTheme="minorHAnsi" w:hAnsiTheme="minorHAnsi"/>
        </w:rPr>
      </w:pPr>
      <w:r w:rsidRPr="00F87621">
        <w:rPr>
          <w:rFonts w:asciiTheme="minorHAnsi" w:hAnsiTheme="minorHAnsi"/>
          <w:i/>
          <w:iCs/>
          <w:color w:val="555555"/>
          <w:sz w:val="20"/>
          <w:szCs w:val="20"/>
        </w:rPr>
        <w:t>Buenos Aires, Argentina</w:t>
      </w:r>
    </w:p>
    <w:p w14:paraId="443F58DB" w14:textId="0FF2998C" w:rsidR="003348A7" w:rsidRPr="00F87621" w:rsidRDefault="00000000" w:rsidP="00F87621">
      <w:pPr>
        <w:spacing w:after="400" w:line="276" w:lineRule="auto"/>
        <w:jc w:val="center"/>
        <w:rPr>
          <w:rFonts w:asciiTheme="minorHAnsi" w:hAnsiTheme="minorHAnsi"/>
        </w:rPr>
      </w:pPr>
      <w:r w:rsidRPr="00F87621">
        <w:rPr>
          <w:rFonts w:asciiTheme="minorHAnsi" w:hAnsiTheme="minorHAnsi"/>
          <w:color w:val="888888"/>
          <w:sz w:val="18"/>
          <w:szCs w:val="18"/>
        </w:rPr>
        <w:t>Mayo 2026</w:t>
      </w:r>
    </w:p>
    <w:p w14:paraId="4D408FC4" w14:textId="77777777" w:rsidR="003348A7" w:rsidRPr="00F87621" w:rsidRDefault="003348A7" w:rsidP="00F87621">
      <w:pPr>
        <w:pBdr>
          <w:top w:val="single" w:sz="4" w:space="4" w:color="2E75B6"/>
          <w:bottom w:val="single" w:sz="4" w:space="4" w:color="2E75B6"/>
        </w:pBdr>
        <w:spacing w:before="160" w:after="160" w:line="276" w:lineRule="auto"/>
        <w:rPr>
          <w:rFonts w:asciiTheme="minorHAnsi" w:hAnsiTheme="minorHAnsi"/>
        </w:rPr>
      </w:pPr>
    </w:p>
    <w:p w14:paraId="002F0A5B" w14:textId="40776B91" w:rsidR="005D7B8D" w:rsidRPr="00F87621" w:rsidRDefault="005D7B8D" w:rsidP="00F87621">
      <w:pPr>
        <w:spacing w:before="160" w:after="80" w:line="276" w:lineRule="auto"/>
        <w:ind w:left="426" w:right="455"/>
        <w:jc w:val="both"/>
        <w:rPr>
          <w:rFonts w:asciiTheme="minorHAnsi" w:hAnsiTheme="minorHAnsi"/>
          <w:b/>
          <w:bCs/>
          <w:sz w:val="20"/>
          <w:szCs w:val="20"/>
        </w:rPr>
      </w:pPr>
      <w:r w:rsidRPr="00F87621">
        <w:rPr>
          <w:rStyle w:val="Fuerte"/>
          <w:rFonts w:asciiTheme="minorHAnsi" w:hAnsiTheme="minorHAnsi"/>
          <w:sz w:val="20"/>
          <w:szCs w:val="20"/>
        </w:rPr>
        <w:t>Abstract.</w:t>
      </w:r>
      <w:r w:rsidRPr="00F87621">
        <w:rPr>
          <w:rFonts w:asciiTheme="minorHAnsi" w:hAnsiTheme="minorHAnsi"/>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data-driven framework to characterize 85,277 ODEs from 560 home-monitoring nights across 12 patients, integrating SpO</w:t>
      </w:r>
      <w:r w:rsidRPr="00F87621">
        <w:rPr>
          <w:rFonts w:asciiTheme="minorHAnsi" w:hAnsiTheme="minorHAnsi" w:cs="Cambria Math"/>
          <w:sz w:val="20"/>
          <w:szCs w:val="20"/>
        </w:rPr>
        <w:t>₂</w:t>
      </w:r>
      <w:r w:rsidRPr="00F87621">
        <w:rPr>
          <w:rFonts w:asciiTheme="minorHAnsi" w:hAnsiTheme="minorHAnsi"/>
          <w:sz w:val="20"/>
          <w:szCs w:val="20"/>
        </w:rPr>
        <w:t xml:space="preserve"> curve morphology with heart rate and movement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ODI3 ICC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 apnea indices.</w:t>
      </w:r>
    </w:p>
    <w:p w14:paraId="40D8339C" w14:textId="31540ACC" w:rsidR="003348A7" w:rsidRPr="00F87621" w:rsidRDefault="00000000" w:rsidP="00F87621">
      <w:pPr>
        <w:spacing w:before="160" w:after="80" w:line="276" w:lineRule="auto"/>
        <w:ind w:left="426" w:right="455"/>
        <w:jc w:val="both"/>
        <w:rPr>
          <w:rFonts w:asciiTheme="minorHAnsi" w:hAnsiTheme="minorHAnsi"/>
          <w:sz w:val="20"/>
          <w:szCs w:val="20"/>
        </w:rPr>
      </w:pPr>
      <w:r w:rsidRPr="00F87621">
        <w:rPr>
          <w:rFonts w:asciiTheme="minorHAnsi" w:hAnsiTheme="minorHAnsi"/>
          <w:b/>
          <w:bCs/>
          <w:sz w:val="20"/>
          <w:szCs w:val="20"/>
        </w:rPr>
        <w:t xml:space="preserve">Resumen. </w:t>
      </w:r>
      <w:r w:rsidR="00163C95" w:rsidRPr="00F87621">
        <w:rPr>
          <w:rFonts w:asciiTheme="minorHAnsi" w:hAnsiTheme="minorHAnsi"/>
          <w:sz w:val="20"/>
          <w:szCs w:val="20"/>
        </w:rPr>
        <w:t>Los trastornos respiratorios del sueño se diagnostican principalmente mediante índices globales de frecuencia como el AHI o el ODI, que no reflejan la heterogeneidad morfológica de los eventos individuales de desaturación de oxígeno (EDO). En este trabajo se propone un marco basado en datos para caracterizar 85.277 EDOs provenientes de 560 noches domiciliarias de 12 pacientes, integrando la morfología de la curva de SpO</w:t>
      </w:r>
      <w:r w:rsidR="00163C95" w:rsidRPr="00F87621">
        <w:rPr>
          <w:rFonts w:asciiTheme="minorHAnsi" w:hAnsiTheme="minorHAnsi" w:cs="Cambria Math"/>
          <w:sz w:val="20"/>
          <w:szCs w:val="20"/>
        </w:rPr>
        <w:t>₂</w:t>
      </w:r>
      <w:r w:rsidR="00163C95" w:rsidRPr="00F87621">
        <w:rPr>
          <w:rFonts w:asciiTheme="minorHAnsi" w:hAnsiTheme="minorHAnsi"/>
          <w:sz w:val="20"/>
          <w:szCs w:val="20"/>
        </w:rPr>
        <w:t xml:space="preserve"> con señales de frecuencia cardíaca y movimiento. Mediante análisis de componentes principales (PCA) y agrupamiento K-means se identificaron cinco fenotipos morfológicos reproducibles (C1–C5) que difieren en profundidad, dinámica temporal y respuesta autonómica asociada. Se propone un Índice de Respuesta Autonómica (ARI) ortogonal a la severidad hipóxica (ρ=0.034), que refleja la eficiencia de la respuesta del organismo frente al estímulo. El análisis intra-estrato muestra que el ARI diferencia noches con carga hipóxica equivalente (p&lt;0.001 para ganancia de FC). La validación multi-noche confirma estabilidad creciente con la agregación: el ICC del ODI3 escala de 0.70 (una noche) a 0.99 (14 noches), con error absoluto medio de 5.3 a 1.5 ev/h; el ARI presenta un error ya por debajo del umbral operacional desde la primera noche. Estos hallazgos sugieren que la heterogeneidad </w:t>
      </w:r>
      <w:r w:rsidR="00163C95" w:rsidRPr="00F87621">
        <w:rPr>
          <w:rFonts w:asciiTheme="minorHAnsi" w:hAnsiTheme="minorHAnsi"/>
          <w:sz w:val="20"/>
          <w:szCs w:val="20"/>
        </w:rPr>
        <w:lastRenderedPageBreak/>
        <w:t>morfológica y la respuesta autonómica constituyen dimensiones fisiopatológicas complementarias a los índices convencionales.</w:t>
      </w:r>
    </w:p>
    <w:p w14:paraId="4140C69B" w14:textId="3F0136E9" w:rsidR="003348A7" w:rsidRPr="00F87621" w:rsidRDefault="00000000" w:rsidP="00F87621">
      <w:pPr>
        <w:spacing w:before="80" w:after="160" w:line="276" w:lineRule="auto"/>
        <w:ind w:left="426" w:right="455"/>
        <w:rPr>
          <w:rFonts w:asciiTheme="minorHAnsi" w:hAnsiTheme="minorHAnsi"/>
        </w:rPr>
      </w:pPr>
      <w:r w:rsidRPr="00F87621">
        <w:rPr>
          <w:rFonts w:asciiTheme="minorHAnsi" w:hAnsiTheme="minorHAnsi"/>
          <w:b/>
          <w:bCs/>
          <w:sz w:val="20"/>
          <w:szCs w:val="20"/>
        </w:rPr>
        <w:t xml:space="preserve">Palabras clave: </w:t>
      </w:r>
      <w:r w:rsidRPr="00F87621">
        <w:rPr>
          <w:rFonts w:asciiTheme="minorHAnsi" w:hAnsiTheme="minorHAnsi"/>
          <w:i/>
          <w:iCs/>
          <w:sz w:val="20"/>
          <w:szCs w:val="20"/>
        </w:rPr>
        <w:t>trastornos respiratorios del sueño; fenotipado morfológico; apnea del sueño; índice de respuesta autonómica; oximetría domiciliaria; análisis data-driven</w:t>
      </w:r>
    </w:p>
    <w:p w14:paraId="6D100777" w14:textId="77777777" w:rsidR="003348A7" w:rsidRPr="00F87621" w:rsidRDefault="003348A7" w:rsidP="00F87621">
      <w:pPr>
        <w:pBdr>
          <w:bottom w:val="single" w:sz="4" w:space="4" w:color="2E75B6"/>
        </w:pBdr>
        <w:spacing w:after="320" w:line="276" w:lineRule="auto"/>
        <w:rPr>
          <w:rFonts w:asciiTheme="minorHAnsi" w:hAnsiTheme="minorHAnsi"/>
        </w:rPr>
      </w:pPr>
    </w:p>
    <w:p w14:paraId="1AFB544C" w14:textId="77777777" w:rsidR="003348A7" w:rsidRPr="00F87621" w:rsidRDefault="00000000" w:rsidP="00F87621">
      <w:pPr>
        <w:pStyle w:val="Ttulo1"/>
        <w:spacing w:line="276" w:lineRule="auto"/>
        <w:rPr>
          <w:rFonts w:asciiTheme="minorHAnsi" w:hAnsiTheme="minorHAnsi"/>
        </w:rPr>
      </w:pPr>
      <w:r w:rsidRPr="00F87621">
        <w:rPr>
          <w:rFonts w:asciiTheme="minorHAnsi" w:hAnsiTheme="minorHAnsi"/>
        </w:rPr>
        <w:t>1. Introducción</w:t>
      </w:r>
    </w:p>
    <w:p w14:paraId="36DDA906" w14:textId="77777777"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El síndrome de apnea obstructiva del sueño (SAOS) afecta al 10–30% de la población adulta de mediana edad y constituye un factor de riesgo independiente para hipertensión, enfermedad cardiovascular, diabetes tipo 2 y mortalidad por todas las causas</w:t>
      </w:r>
      <w:r w:rsidRPr="00F87621">
        <w:rPr>
          <w:rFonts w:asciiTheme="minorHAnsi" w:hAnsiTheme="minorHAnsi"/>
          <w:sz w:val="18"/>
          <w:szCs w:val="18"/>
          <w:vertAlign w:val="superscript"/>
        </w:rPr>
        <w:t>[1,2,3]</w:t>
      </w:r>
      <w:r w:rsidRPr="00F87621">
        <w:rPr>
          <w:rFonts w:asciiTheme="minorHAnsi" w:hAnsiTheme="minorHAnsi"/>
        </w:rPr>
        <w:t>. Su diagnóstico se basa desde hace décadas en el índice de apnea-hipopnea (AHI) y en métricas derivadas como el índice de desaturación de oxígeno (ODI) y el tiempo con saturación inferior al 90% (T90)</w:t>
      </w:r>
      <w:r w:rsidRPr="00F87621">
        <w:rPr>
          <w:rFonts w:asciiTheme="minorHAnsi" w:hAnsiTheme="minorHAnsi"/>
          <w:sz w:val="18"/>
          <w:szCs w:val="18"/>
          <w:vertAlign w:val="superscript"/>
        </w:rPr>
        <w:t>[4]</w:t>
      </w:r>
      <w:r w:rsidRPr="00F87621">
        <w:rPr>
          <w:rFonts w:asciiTheme="minorHAnsi" w:hAnsiTheme="minorHAnsi"/>
        </w:rPr>
        <w:t>.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70AA149B" w14:textId="5CEBC4DE"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Desde una perspectiva fisiopatológica, no todos los eventos de desaturación son equivalentes. Un evento caída de SpO2 de 4 puntos porcentuales (pp) con recuperación rápida y taquicardia acompañante es fisiológicamente distinto de uno con caída de 15 pp, recuperación lenta y silencio autonómico, y sin embargo ambos contribuyen por igual al ODI. Esta homogeneización puede explicar, al menos en parte, por qué el AHI presenta capacidad predictiva modesta para desenlaces cardiovasculares cuando se lo analiza de forma aislada</w:t>
      </w:r>
      <w:r w:rsidRPr="00F87621">
        <w:rPr>
          <w:rFonts w:asciiTheme="minorHAnsi" w:hAnsiTheme="minorHAnsi"/>
          <w:sz w:val="18"/>
          <w:szCs w:val="18"/>
          <w:vertAlign w:val="superscript"/>
        </w:rPr>
        <w:t>[5,6]</w:t>
      </w:r>
      <w:r w:rsidRPr="00F87621">
        <w:rPr>
          <w:rFonts w:asciiTheme="minorHAnsi" w:hAnsiTheme="minorHAnsi"/>
        </w:rPr>
        <w:t>.</w:t>
      </w:r>
    </w:p>
    <w:p w14:paraId="47E57ECF" w14:textId="25E6FA57"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 xml:space="preserve">La </w:t>
      </w:r>
      <w:r w:rsidRPr="00F87621">
        <w:rPr>
          <w:rFonts w:asciiTheme="minorHAnsi" w:hAnsiTheme="minorHAnsi"/>
          <w:b/>
          <w:bCs/>
        </w:rPr>
        <w:t>carga hipóxica</w:t>
      </w:r>
      <w:r w:rsidRPr="00F87621">
        <w:rPr>
          <w:rFonts w:asciiTheme="minorHAnsi" w:hAnsiTheme="minorHAnsi"/>
        </w:rPr>
        <w:t xml:space="preserve"> (</w:t>
      </w:r>
      <w:r w:rsidRPr="00F87621">
        <w:rPr>
          <w:rFonts w:asciiTheme="minorHAnsi" w:hAnsiTheme="minorHAnsi"/>
          <w:i/>
          <w:iCs/>
        </w:rPr>
        <w:t>hypoxic burden</w:t>
      </w:r>
      <w:r w:rsidRPr="00F87621">
        <w:rPr>
          <w:rFonts w:asciiTheme="minorHAnsi" w:hAnsiTheme="minorHAnsi"/>
        </w:rPr>
        <w:t>), definida como el área bajo la curva de SpO₂ durante los eventos respiratorios, ha demostrado asociarse con mortalidad cardiovascular de forma independiente al AHI</w:t>
      </w:r>
      <w:r w:rsidRPr="00F87621">
        <w:rPr>
          <w:rFonts w:asciiTheme="minorHAnsi" w:hAnsiTheme="minorHAnsi"/>
          <w:sz w:val="18"/>
          <w:szCs w:val="18"/>
          <w:vertAlign w:val="superscript"/>
        </w:rPr>
        <w:t>[5]</w:t>
      </w:r>
      <w:r w:rsidRPr="00F87621">
        <w:rPr>
          <w:rFonts w:asciiTheme="minorHAnsi" w:hAnsiTheme="minorHAnsi"/>
        </w:rPr>
        <w:t>. Esta evidencia refuerza el argumento de que la dinámica temporal de cada evento, y no sólo su frecuencia, contiene información clínica relevante. Los avances en monitoreo domiciliario</w:t>
      </w:r>
      <w:r w:rsidRPr="00F87621">
        <w:rPr>
          <w:rFonts w:asciiTheme="minorHAnsi" w:hAnsiTheme="minorHAnsi"/>
          <w:sz w:val="18"/>
          <w:szCs w:val="18"/>
          <w:vertAlign w:val="superscript"/>
        </w:rPr>
        <w:t>[7]</w:t>
      </w:r>
      <w:r w:rsidRPr="00F87621">
        <w:rPr>
          <w:rFonts w:asciiTheme="minorHAnsi" w:hAnsiTheme="minorHAnsi"/>
        </w:rPr>
        <w:t xml:space="preserve"> permiten además estudiar esta dinámica de forma longitudinal en condiciones ecológicamente válidas, superando las limitaciones del laboratorio de sueño.</w:t>
      </w:r>
    </w:p>
    <w:p w14:paraId="4A3EB8D2" w14:textId="61853224" w:rsidR="003348A7" w:rsidRPr="00F87621" w:rsidRDefault="00000000" w:rsidP="00F87621">
      <w:pPr>
        <w:spacing w:after="200" w:line="276" w:lineRule="auto"/>
        <w:jc w:val="both"/>
        <w:rPr>
          <w:rFonts w:asciiTheme="minorHAnsi" w:hAnsiTheme="minorHAnsi"/>
        </w:rPr>
      </w:pPr>
      <w:r w:rsidRPr="00F87621">
        <w:rPr>
          <w:rFonts w:asciiTheme="minorHAnsi" w:hAnsiTheme="minorHAnsi"/>
        </w:rPr>
        <w:t>El presente trabajo propone un marco analítico a partir de los datos con tres objetivos específicos: (1) identificar fenotipos morfológicos reproducibles de los EDOs mediante técnicas no supervisadas; (2) desarrollar un Índice de Respuesta Autonómica (ARI) que capture la respuesta del organismo ante cada evento de desaturación, independientemente de cuán profunda sea la caída de oxígeno y (3) validar que las métricas propuestas sean estables y reproducibles cuando se repiten las mediciones en distintas noches del mismo paciente en su domicilio.</w:t>
      </w:r>
    </w:p>
    <w:p w14:paraId="63452029" w14:textId="77777777" w:rsidR="003348A7" w:rsidRPr="00F87621" w:rsidRDefault="00000000" w:rsidP="00F87621">
      <w:pPr>
        <w:pStyle w:val="Ttulo1"/>
        <w:spacing w:line="276" w:lineRule="auto"/>
        <w:rPr>
          <w:rFonts w:asciiTheme="minorHAnsi" w:hAnsiTheme="minorHAnsi"/>
        </w:rPr>
      </w:pPr>
      <w:r w:rsidRPr="00F87621">
        <w:rPr>
          <w:rFonts w:asciiTheme="minorHAnsi" w:hAnsiTheme="minorHAnsi"/>
        </w:rPr>
        <w:lastRenderedPageBreak/>
        <w:t>2. Materiales y Métodos</w:t>
      </w:r>
    </w:p>
    <w:p w14:paraId="6DEFB6DC"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2.1 Diseño del estudio y cohorte</w:t>
      </w:r>
    </w:p>
    <w:p w14:paraId="326B8949" w14:textId="77777777" w:rsidR="00780E7E" w:rsidRPr="00F87621" w:rsidRDefault="00000000" w:rsidP="00F87621">
      <w:pPr>
        <w:spacing w:after="160" w:line="276" w:lineRule="auto"/>
        <w:jc w:val="both"/>
        <w:rPr>
          <w:rFonts w:asciiTheme="minorHAnsi" w:hAnsiTheme="minorHAnsi"/>
        </w:rPr>
      </w:pPr>
      <w:r w:rsidRPr="00F87621">
        <w:rPr>
          <w:rFonts w:asciiTheme="minorHAnsi" w:hAnsiTheme="minorHAnsi"/>
        </w:rPr>
        <w:t>Se realizó un análisis retrospectivo observacional de señales fisiológicas nocturnas adquiridas en entorno domiciliario. La cohorte incluyó 12 pacientes y 560 noches en total, quienes utilizaron un oxímetro portátil (</w:t>
      </w:r>
      <w:r w:rsidRPr="00F87621">
        <w:rPr>
          <w:rFonts w:asciiTheme="minorHAnsi" w:hAnsiTheme="minorHAnsi"/>
          <w:b/>
          <w:bCs/>
        </w:rPr>
        <w:t>SOMNI 6000</w:t>
      </w:r>
      <w:r w:rsidRPr="00F87621">
        <w:rPr>
          <w:rFonts w:asciiTheme="minorHAnsi" w:hAnsiTheme="minorHAnsi"/>
        </w:rPr>
        <w:t xml:space="preserve">) durante el sueño en su domicilio habitual. </w:t>
      </w:r>
    </w:p>
    <w:p w14:paraId="28FBB460" w14:textId="4F2F53F9" w:rsidR="00780E7E" w:rsidRPr="00F87621" w:rsidRDefault="00780E7E" w:rsidP="00F87621">
      <w:pPr>
        <w:spacing w:after="160" w:line="276" w:lineRule="auto"/>
        <w:jc w:val="both"/>
        <w:rPr>
          <w:rFonts w:asciiTheme="minorHAnsi" w:hAnsiTheme="minorHAnsi"/>
        </w:rPr>
      </w:pPr>
      <w:r w:rsidRPr="00F87621">
        <w:rPr>
          <w:rFonts w:asciiTheme="minorHAnsi" w:hAnsiTheme="minorHAnsi"/>
        </w:rPr>
        <w:t xml:space="preserve">El </w:t>
      </w:r>
      <w:r w:rsidRPr="00F87621">
        <w:rPr>
          <w:rFonts w:asciiTheme="minorHAnsi" w:hAnsiTheme="minorHAnsi"/>
          <w:b/>
          <w:bCs/>
        </w:rPr>
        <w:t>SOMNI 6000</w:t>
      </w:r>
      <w:r w:rsidRPr="00F87621">
        <w:rPr>
          <w:rFonts w:asciiTheme="minorHAnsi" w:hAnsiTheme="minorHAnsi"/>
        </w:rPr>
        <w:t xml:space="preserve"> (ApnoSystems LLC) es un dispositivo portátil de uso domiciliario aprobado por ANMAT, que integra un pulsioxímetro y un estimulador eléctrico transcutáneo en un único sensor de dedo no invasivo. Registra SpO</w:t>
      </w:r>
      <w:r w:rsidRPr="00F87621">
        <w:rPr>
          <w:rFonts w:asciiTheme="minorHAnsi" w:hAnsiTheme="minorHAnsi" w:cs="Cambria Math"/>
        </w:rPr>
        <w:t>₂</w:t>
      </w:r>
      <w:r w:rsidRPr="00F87621">
        <w:rPr>
          <w:rFonts w:asciiTheme="minorHAnsi" w:hAnsiTheme="minorHAnsi"/>
        </w:rPr>
        <w:t xml:space="preserve"> y frecuencia cardíaca en continuo a 1 Hz, y transmite los datos vía Bluetooth LE a un dispositivo móvil. El diseño del estudio clínico de validación (protocolo CLP-275001 v1.2, abril 2025) sigue los estándares ICH GCP y las regulaciones aplicables de la FDA e ANMAT, con diseño cruzado aleatorizado doble ciego.</w:t>
      </w:r>
    </w:p>
    <w:p w14:paraId="2046FA54" w14:textId="43504DB3" w:rsidR="003348A7" w:rsidRPr="00F87621" w:rsidRDefault="00A945A7" w:rsidP="00F87621">
      <w:pPr>
        <w:spacing w:after="160" w:line="276" w:lineRule="auto"/>
        <w:jc w:val="both"/>
        <w:rPr>
          <w:rFonts w:asciiTheme="minorHAnsi" w:hAnsiTheme="minorHAnsi"/>
        </w:rPr>
      </w:pPr>
      <w:r w:rsidRPr="00F87621">
        <w:rPr>
          <w:rFonts w:asciiTheme="minorHAnsi" w:hAnsiTheme="minorHAnsi"/>
        </w:rPr>
        <w:t>El diseño de monitoreo ambulatorio permite obtener registros nocturnos repetidos en el domicilio habitual del paciente, con alta resolución temporal y sin las restricciones propias del laboratorio de sueño</w:t>
      </w:r>
      <w:r w:rsidRPr="00F87621">
        <w:rPr>
          <w:rFonts w:asciiTheme="minorHAnsi" w:hAnsiTheme="minorHAnsi"/>
          <w:sz w:val="18"/>
          <w:szCs w:val="18"/>
          <w:vertAlign w:val="superscript"/>
        </w:rPr>
        <w:t xml:space="preserve"> [7]</w:t>
      </w:r>
      <w:r w:rsidRPr="00F87621">
        <w:rPr>
          <w:rFonts w:asciiTheme="minorHAnsi" w:hAnsiTheme="minorHAnsi"/>
        </w:rPr>
        <w:t xml:space="preserve">. Todos los registros reflejan la condición basal y la eventual respuesta fisiológica pura al estímulo hipóxico. Las señales registradas incluyeron saturación de oxígeno </w:t>
      </w:r>
      <w:r w:rsidRPr="00F87621">
        <w:rPr>
          <w:rFonts w:asciiTheme="minorHAnsi" w:hAnsiTheme="minorHAnsi"/>
          <w:b/>
          <w:bCs/>
        </w:rPr>
        <w:t>(SpO₂</w:t>
      </w:r>
      <w:r w:rsidRPr="00F87621">
        <w:rPr>
          <w:rFonts w:asciiTheme="minorHAnsi" w:hAnsiTheme="minorHAnsi"/>
        </w:rPr>
        <w:t>) a 1 Hz, frecuencia cardíaca (</w:t>
      </w:r>
      <w:r w:rsidRPr="00F87621">
        <w:rPr>
          <w:rFonts w:asciiTheme="minorHAnsi" w:hAnsiTheme="minorHAnsi"/>
          <w:b/>
          <w:bCs/>
        </w:rPr>
        <w:t>FC</w:t>
      </w:r>
      <w:r w:rsidRPr="00F87621">
        <w:rPr>
          <w:rFonts w:asciiTheme="minorHAnsi" w:hAnsiTheme="minorHAnsi"/>
        </w:rPr>
        <w:t>) y nivel de movimiento (</w:t>
      </w:r>
      <w:r w:rsidRPr="00F87621">
        <w:rPr>
          <w:rFonts w:asciiTheme="minorHAnsi" w:hAnsiTheme="minorHAnsi"/>
          <w:b/>
          <w:bCs/>
        </w:rPr>
        <w:t>MOV</w:t>
      </w:r>
      <w:r w:rsidRPr="00F87621">
        <w:rPr>
          <w:rFonts w:asciiTheme="minorHAnsi" w:hAnsiTheme="minorHAnsi"/>
        </w:rPr>
        <w:t>); duración media del registro: 5.8 ± 1.5 horas.</w:t>
      </w:r>
    </w:p>
    <w:p w14:paraId="5DFE2B46"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2.2 Pipeline PAC_v2 y detección de eventos</w:t>
      </w:r>
    </w:p>
    <w:p w14:paraId="7ACF168F" w14:textId="6E65328D"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 xml:space="preserve">Los datos fueron procesados con el pipeline PAC_v2 (Physiological Analysis Continuum), sistema modular desarrolado </w:t>
      </w:r>
      <w:r w:rsidRPr="00F87621">
        <w:rPr>
          <w:rFonts w:asciiTheme="minorHAnsi" w:hAnsiTheme="minorHAnsi"/>
          <w:i/>
          <w:iCs/>
        </w:rPr>
        <w:t>ad hoc</w:t>
      </w:r>
      <w:r w:rsidRPr="00F87621">
        <w:rPr>
          <w:rFonts w:asciiTheme="minorHAnsi" w:hAnsiTheme="minorHAnsi"/>
        </w:rPr>
        <w:t xml:space="preserve"> que incluye etapas de ingesta (control de calidad por rango), normalización de señales, detección de eventos y consolidación de métricas Gold.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75A16EFF"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2.3 Análisis morfológico y ARI</w:t>
      </w:r>
    </w:p>
    <w:p w14:paraId="668B3C9D" w14:textId="77777777" w:rsidR="00AD0FED" w:rsidRPr="00F87621" w:rsidRDefault="00AD0FED" w:rsidP="00F87621">
      <w:pPr>
        <w:spacing w:after="80" w:line="276" w:lineRule="auto"/>
        <w:jc w:val="both"/>
        <w:rPr>
          <w:rFonts w:asciiTheme="minorHAnsi" w:hAnsiTheme="minorHAnsi"/>
        </w:rPr>
      </w:pPr>
      <w:r w:rsidRPr="00F87621">
        <w:rPr>
          <w:rFonts w:asciiTheme="minorHAnsi" w:hAnsiTheme="minorHAnsi"/>
        </w:rPr>
        <w:t>El análisis morfológico se realizó en dos etapas sobre las 85.277 curvas normalizadas. Primero, se aplicó análisis de componentes principales (PCA) para reducir cada curva de 30 puntos a un espacio de menor dimensión que conserva la mayor parte de la variabilidad morfológica entre eventos (tres componentes explicaron el 83.9% de la varianza total). Sobre ese espacio reducido se aplicó K-means</w:t>
      </w:r>
      <w:r w:rsidRPr="00F87621">
        <w:rPr>
          <w:rFonts w:ascii="Cambria Math" w:hAnsi="Cambria Math" w:cs="Cambria Math"/>
        </w:rPr>
        <w:t>⁽</w:t>
      </w:r>
      <w:r w:rsidRPr="00F87621">
        <w:rPr>
          <w:rFonts w:asciiTheme="minorHAnsi" w:hAnsiTheme="minorHAnsi"/>
        </w:rPr>
        <w:t>¹¹</w:t>
      </w:r>
      <w:r w:rsidRPr="00F87621">
        <w:rPr>
          <w:rFonts w:ascii="Cambria Math" w:hAnsi="Cambria Math" w:cs="Cambria Math"/>
        </w:rPr>
        <w:t>⁾</w:t>
      </w:r>
      <w:r w:rsidRPr="00F87621">
        <w:rPr>
          <w:rFonts w:asciiTheme="minorHAnsi" w:hAnsiTheme="minorHAnsi"/>
        </w:rPr>
        <w:t>, un algoritmo de agrupamiento que asigna cada evento al cluster cuyo perfil promedio (centroide) le resulta más similar. El número de clusters k=5 se seleccionó mediante el criterio del codo y la métrica de Silhouette, que evalúa la cohesión interna de cada grupo y su separación respecto a los demás.</w:t>
      </w:r>
    </w:p>
    <w:p w14:paraId="493B9D8D" w14:textId="77777777" w:rsidR="00AD0FED" w:rsidRPr="00F87621" w:rsidRDefault="00AD0FED" w:rsidP="00F87621">
      <w:pPr>
        <w:spacing w:after="80" w:line="276" w:lineRule="auto"/>
        <w:jc w:val="both"/>
        <w:rPr>
          <w:rFonts w:asciiTheme="minorHAnsi" w:hAnsiTheme="minorHAnsi"/>
        </w:rPr>
      </w:pPr>
    </w:p>
    <w:p w14:paraId="4D2C2100" w14:textId="4504DC7B" w:rsidR="003348A7" w:rsidRPr="00F87621" w:rsidRDefault="00000000" w:rsidP="00F87621">
      <w:pPr>
        <w:spacing w:after="80" w:line="276" w:lineRule="auto"/>
        <w:jc w:val="both"/>
        <w:rPr>
          <w:rFonts w:asciiTheme="minorHAnsi" w:hAnsiTheme="minorHAnsi"/>
        </w:rPr>
      </w:pPr>
      <w:r w:rsidRPr="00F87621">
        <w:rPr>
          <w:rFonts w:asciiTheme="minorHAnsi" w:hAnsiTheme="minorHAnsi"/>
        </w:rPr>
        <w:t>El Índice de Respuesta Autonómica (ARI) se definió como:</w:t>
      </w:r>
    </w:p>
    <w:p w14:paraId="56ED79EF" w14:textId="77777777" w:rsidR="000A36AE" w:rsidRPr="00F87621" w:rsidRDefault="000A36AE" w:rsidP="00F87621">
      <w:pPr>
        <w:spacing w:after="160" w:line="276" w:lineRule="auto"/>
        <w:jc w:val="both"/>
        <w:rPr>
          <w:rFonts w:asciiTheme="minorHAnsi" w:hAnsiTheme="minorHAnsi"/>
        </w:rPr>
      </w:pPr>
    </w:p>
    <w:p w14:paraId="089EE703" w14:textId="531113AA" w:rsidR="000A36AE" w:rsidRPr="00F87621" w:rsidRDefault="000A36AE" w:rsidP="00F87621">
      <w:pPr>
        <w:spacing w:after="160" w:line="276" w:lineRule="auto"/>
        <w:jc w:val="both"/>
        <w:rPr>
          <w:rFonts w:asciiTheme="minorHAnsi" w:hAnsiTheme="minorHAnsi"/>
        </w:rPr>
      </w:pPr>
      <w:r w:rsidRPr="00F87621">
        <w:rPr>
          <w:rFonts w:asciiTheme="minorHAnsi" w:hAnsiTheme="minorHAnsi"/>
          <w:noProof/>
        </w:rPr>
        <mc:AlternateContent>
          <mc:Choice Requires="wps">
            <w:drawing>
              <wp:anchor distT="0" distB="0" distL="114300" distR="114300" simplePos="0" relativeHeight="251659264" behindDoc="0" locked="0" layoutInCell="1" allowOverlap="1" wp14:anchorId="527DCAB7" wp14:editId="3ED6C0AC">
                <wp:simplePos x="0" y="0"/>
                <wp:positionH relativeFrom="column">
                  <wp:posOffset>0</wp:posOffset>
                </wp:positionH>
                <wp:positionV relativeFrom="paragraph">
                  <wp:posOffset>0</wp:posOffset>
                </wp:positionV>
                <wp:extent cx="1828800" cy="1828800"/>
                <wp:effectExtent l="0" t="0" r="0" b="0"/>
                <wp:wrapSquare wrapText="bothSides"/>
                <wp:docPr id="205233011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6A1B3E8" w14:textId="77777777" w:rsidR="000A36AE" w:rsidRPr="00AF4E50" w:rsidRDefault="000A36AE" w:rsidP="00AF4E50">
                            <w:pPr>
                              <w:spacing w:before="80" w:after="80"/>
                              <w:jc w:val="center"/>
                              <w:rPr>
                                <w:rFonts w:ascii="Courier New" w:eastAsia="Courier New" w:hAnsi="Courier New" w:cs="Courier New"/>
                                <w:b/>
                                <w:bCs/>
                              </w:rPr>
                            </w:pPr>
                            <w:r>
                              <w:rPr>
                                <w:rFonts w:ascii="Courier New" w:eastAsia="Courier New" w:hAnsi="Courier New" w:cs="Courier New"/>
                                <w:b/>
                                <w:bCs/>
                              </w:rPr>
                              <w:t>ARI = 0.6 · Pct(ΔHR / ΔSpO₂) + 0.4 · Pct(ΔMov / ΔSpO₂)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27DCAB7" id="_x0000_t202" coordsize="21600,21600" o:spt="202" path="m,l,21600r21600,l21600,xe">
                <v:stroke joinstyle="miter"/>
                <v:path gradientshapeok="t" o:connecttype="rect"/>
              </v:shapetype>
              <v:shape id="Cuadro de texto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gE0qJQIAAFMEAAAOAAAAZHJzL2Uyb0RvYy54bWysVE1v2zAMvQ/YfxB0X+xkaZcGcYosRYYB RVsgHXpWZDkxJouCpMTOfv2elE90Ow27yKT4IZLv0ZP7rtFsp5yvyRS838s5U0ZSWZt1wX+8Lj6N OPNBmFJoMqrge+X5/fTjh0lrx2pAG9KlcgxJjB+3tuCbEOw4y7zcqEb4HlllYKzINSJAdeusdKJF 9kZngzy/zVpypXUklfe4fTgY+TTlryolw3NVeRWYLjhqC+l06VzFM5tOxHjthN3U8liG+IcqGlEb PHpO9SCCYFtX/5GqqaUjT1XoSWoyqqpaqtQDuunn77pZboRVqRcMx9vzmPz/Syufdkv74ljovlIH AONAWuvHHpexn65yTfyiUgY7Rrg/j011gckYNBqMRjlMEraTgjzZJdw6H74palgUCu6ASxqX2D36 cHA9ucTXDC1qrRM22rC24Lefb/IU4EnXZTRGtxgy147tBNBdaSF/xvLx7JUXNG1weWkqSqFbdXCN 4orKPQbg6MANb+WiRt5H4cOLcCADGgPBwzOOShOKoaPE2Ybcr7/dR39gBCtnLchVcAP2c6a/G2B3 1x8OIxeTMrz5MoDiri2ra4vZNnNCf30skpVJjP5Bn8TKUfOGLZjFN2ESRuLlgoeTOA8HwmOLpJrN khPYZ0V4NEsrY+rTNF+7N+HsEaUAgJ/oREIxfgfWwTdGejvbBkCWkLzM9Dh1MDeBctyyuBrXevK6 /AumvwEAAP//AwBQSwMEFAAGAAgAAAAhAAUyY4naAAAACgEAAA8AAABkcnMvZG93bnJldi54bWxM T0FuwjAQvFfiD9ZW6q04RWqbhjgIgXrrgQLq2cTbJGCvo9hA0td3qZDoZbSj0czO5LPeWXHCLjSe FDyNExBIpTcNVQq2m/fHFESImoy2nlDBgAFmxegu15nxZ/rE0zpWgkMoZFpBHWObSRnKGp0OY98i sfbtO6cj066SptNnDndWTpLkRTrdEH+odYuLGsvD+ugUmOF5MRj7Y7b7r9e3lTeb1UdYKvVw3y+n DPMpiIh9vDngsoH7Q8HFdv5IJgirgNfEP2RtkqZMd9dDFrn8P6H4BQAA//8DAFBLAQItABQABgAI AAAAIQC2gziS/gAAAOEBAAATAAAAAAAAAAAAAAAAAAAAAABbQ29udGVudF9UeXBlc10ueG1sUEsB Ai0AFAAGAAgAAAAhADj9If/WAAAAlAEAAAsAAAAAAAAAAAAAAAAALwEAAF9yZWxzLy5yZWxzUEsB Ai0AFAAGAAgAAAAhAPKATSolAgAAUwQAAA4AAAAAAAAAAAAAAAAALgIAAGRycy9lMm9Eb2MueG1s UEsBAi0AFAAGAAgAAAAhAAUyY4naAAAACgEAAA8AAAAAAAAAAAAAAAAAfwQAAGRycy9kb3ducmV2 LnhtbFBLBQYAAAAABAAEAPMAAACGBQAAAAA= " filled="f" strokeweight=".5pt">
                <v:fill o:detectmouseclick="t"/>
                <v:textbox style="mso-fit-shape-to-text:t">
                  <w:txbxContent>
                    <w:p w14:paraId="56A1B3E8" w14:textId="77777777" w:rsidR="000A36AE" w:rsidRPr="00AF4E50" w:rsidRDefault="000A36AE" w:rsidP="00AF4E50">
                      <w:pPr>
                        <w:spacing w:before="80" w:after="80"/>
                        <w:jc w:val="center"/>
                        <w:rPr>
                          <w:rFonts w:ascii="Courier New" w:eastAsia="Courier New" w:hAnsi="Courier New" w:cs="Courier New"/>
                          <w:b/>
                          <w:bCs/>
                        </w:rPr>
                      </w:pPr>
                      <w:r>
                        <w:rPr>
                          <w:rFonts w:ascii="Courier New" w:eastAsia="Courier New" w:hAnsi="Courier New" w:cs="Courier New"/>
                          <w:b/>
                          <w:bCs/>
                        </w:rPr>
                        <w:t>ARI = 0.6 · Pct(ΔHR / ΔSpO₂) + 0.4 · Pct(ΔMov / ΔSpO₂)     (1)</w:t>
                      </w:r>
                    </w:p>
                  </w:txbxContent>
                </v:textbox>
                <w10:wrap type="square"/>
              </v:shape>
            </w:pict>
          </mc:Fallback>
        </mc:AlternateContent>
      </w:r>
    </w:p>
    <w:p w14:paraId="229501D5" w14:textId="2E011B52" w:rsidR="003348A7" w:rsidRPr="00F87621" w:rsidRDefault="00157EFC" w:rsidP="00F87621">
      <w:pPr>
        <w:spacing w:after="160" w:line="276" w:lineRule="auto"/>
        <w:jc w:val="both"/>
        <w:rPr>
          <w:rFonts w:asciiTheme="minorHAnsi" w:hAnsiTheme="minorHAnsi"/>
        </w:rPr>
      </w:pPr>
      <w:r w:rsidRPr="00F87621">
        <w:rPr>
          <w:rFonts w:asciiTheme="minorHAnsi" w:hAnsiTheme="minorHAnsi"/>
        </w:rPr>
        <w:t xml:space="preserve">donde </w:t>
      </w:r>
      <w:r w:rsidRPr="00F87621">
        <w:rPr>
          <w:rFonts w:asciiTheme="minorHAnsi" w:hAnsiTheme="minorHAnsi"/>
          <w:i/>
          <w:iCs/>
        </w:rPr>
        <w:t>Pct(·)</w:t>
      </w:r>
      <w:r w:rsidRPr="00F87621">
        <w:rPr>
          <w:rFonts w:asciiTheme="minorHAnsi" w:hAnsiTheme="minorHAnsi"/>
        </w:rPr>
        <w:t xml:space="preserve"> es la transformación a percentiles dentro del corpus completo de eventos con </w:t>
      </w:r>
      <w:r w:rsidRPr="00F87621">
        <w:rPr>
          <w:rFonts w:asciiTheme="minorHAnsi" w:hAnsiTheme="minorHAnsi"/>
          <w:i/>
          <w:iCs/>
        </w:rPr>
        <w:t>drop_pct&gt;0</w:t>
      </w:r>
      <w:r w:rsidRPr="00F87621">
        <w:rPr>
          <w:rFonts w:asciiTheme="minorHAnsi" w:hAnsiTheme="minorHAnsi"/>
        </w:rPr>
        <w:t>, es decir aquellos eventos en los que la saturación de oxígeno descendió efectivamente respecto al basal local (84.248 eventos), haciendo al índice adimensional y robusto a diferencias de escala entre variables. Los pesos 0.6/0.4 reflejan la mayor varianza del componente cardíaco.</w:t>
      </w:r>
    </w:p>
    <w:p w14:paraId="4973FDA7"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2.4 Validación interna multi-noche</w:t>
      </w:r>
    </w:p>
    <w:p w14:paraId="0ADEF34F" w14:textId="10451962" w:rsidR="002B0D71" w:rsidRPr="00F87621" w:rsidRDefault="002B0D71" w:rsidP="00F87621">
      <w:pPr>
        <w:spacing w:line="276" w:lineRule="auto"/>
        <w:jc w:val="both"/>
        <w:rPr>
          <w:rFonts w:asciiTheme="minorHAnsi" w:hAnsiTheme="minorHAnsi"/>
        </w:rPr>
      </w:pPr>
      <w:r w:rsidRPr="00F87621">
        <w:rPr>
          <w:rFonts w:asciiTheme="minorHAnsi" w:hAnsiTheme="minorHAnsi"/>
        </w:rPr>
        <w:t xml:space="preserve">En ausencia de PSG como estándar externo, la validación se basó en consistencia interna y reproducibilidad longitudinal. Se evaluaron tres métricas complementarias: el </w:t>
      </w:r>
      <w:r w:rsidRPr="00F87621">
        <w:rPr>
          <w:rFonts w:asciiTheme="minorHAnsi" w:hAnsiTheme="minorHAnsi"/>
          <w:b/>
          <w:bCs/>
        </w:rPr>
        <w:t>coeficiente de correlación intraclase</w:t>
      </w:r>
      <w:r w:rsidRPr="00F87621">
        <w:rPr>
          <w:rFonts w:asciiTheme="minorHAnsi" w:hAnsiTheme="minorHAnsi"/>
        </w:rPr>
        <w:t xml:space="preserve"> de un factor sobre mediciones individuales [ICC(1,1)]</w:t>
      </w:r>
      <w:r w:rsidRPr="00F87621">
        <w:rPr>
          <w:rFonts w:ascii="Cambria Math" w:hAnsi="Cambria Math" w:cs="Cambria Math"/>
        </w:rPr>
        <w:t>⁽</w:t>
      </w:r>
      <w:r w:rsidRPr="00F87621">
        <w:rPr>
          <w:rFonts w:asciiTheme="minorHAnsi" w:hAnsiTheme="minorHAnsi"/>
        </w:rPr>
        <w:t>¹²</w:t>
      </w:r>
      <w:r w:rsidRPr="00F87621">
        <w:rPr>
          <w:rFonts w:ascii="Cambria Math" w:hAnsi="Cambria Math" w:cs="Cambria Math"/>
        </w:rPr>
        <w:t>⁾</w:t>
      </w:r>
      <w:r w:rsidRPr="00F87621">
        <w:rPr>
          <w:rFonts w:asciiTheme="minorHAnsi" w:hAnsiTheme="minorHAnsi"/>
        </w:rPr>
        <w:t xml:space="preserve">, que cuantifica qué tan consistente es la estimación de una métrica entre distintas noches del mismo paciente; el </w:t>
      </w:r>
      <w:r w:rsidRPr="00F87621">
        <w:rPr>
          <w:rFonts w:asciiTheme="minorHAnsi" w:hAnsiTheme="minorHAnsi"/>
          <w:b/>
          <w:bCs/>
        </w:rPr>
        <w:t>análisis de concordancia de Bland–Altman</w:t>
      </w:r>
      <w:r w:rsidRPr="00F87621">
        <w:rPr>
          <w:rFonts w:ascii="Cambria Math" w:hAnsi="Cambria Math" w:cs="Cambria Math"/>
        </w:rPr>
        <w:t>⁽</w:t>
      </w:r>
      <w:r w:rsidRPr="00F87621">
        <w:rPr>
          <w:rFonts w:asciiTheme="minorHAnsi" w:hAnsiTheme="minorHAnsi"/>
        </w:rPr>
        <w:t>¹³</w:t>
      </w:r>
      <w:r w:rsidRPr="00F87621">
        <w:rPr>
          <w:rFonts w:ascii="Cambria Math" w:hAnsi="Cambria Math" w:cs="Cambria Math"/>
        </w:rPr>
        <w:t>⁾</w:t>
      </w:r>
      <w:r w:rsidRPr="00F87621">
        <w:rPr>
          <w:rFonts w:asciiTheme="minorHAnsi" w:hAnsiTheme="minorHAnsi"/>
        </w:rPr>
        <w:t xml:space="preserve">, método estándar para cuantificar el acuerdo entre dos condiciones de medición de la misma variable, aplicado aquí para comparar la estimación de una sola noche frente al promedio multi-noche; y la estabilización </w:t>
      </w:r>
      <w:r w:rsidRPr="00F87621">
        <w:rPr>
          <w:rFonts w:asciiTheme="minorHAnsi" w:hAnsiTheme="minorHAnsi"/>
          <w:b/>
          <w:bCs/>
        </w:rPr>
        <w:t>bootstrap del error absoluto medio</w:t>
      </w:r>
      <w:r w:rsidRPr="00F87621">
        <w:rPr>
          <w:rFonts w:asciiTheme="minorHAnsi" w:hAnsiTheme="minorHAnsi"/>
        </w:rPr>
        <w:t xml:space="preserve"> (MAE) en función del número de noches acumuladas, que evalúa a partir de cuántas noches la estimación converge a un valor estable (300 iteraciones por paciente; pacientes con ≥14 noches válidas, n=7). La severidad nocturna se clasificó según el índice de desaturación de oxígeno al 3% (ODI3): Leve (&lt;5 ev/h), Moderado (5–15), Grave (15–30) y Muy grave (≥30).</w:t>
      </w:r>
    </w:p>
    <w:p w14:paraId="09A51DBA" w14:textId="77777777" w:rsidR="002B0D71" w:rsidRPr="00F87621" w:rsidRDefault="002B0D71" w:rsidP="00F87621">
      <w:pPr>
        <w:spacing w:line="276" w:lineRule="auto"/>
        <w:rPr>
          <w:rFonts w:asciiTheme="minorHAnsi" w:hAnsiTheme="minorHAnsi"/>
        </w:rPr>
      </w:pPr>
      <w:r w:rsidRPr="00F87621">
        <w:rPr>
          <w:rFonts w:asciiTheme="minorHAnsi" w:hAnsiTheme="minorHAnsi"/>
        </w:rPr>
        <w:br w:type="page"/>
      </w:r>
    </w:p>
    <w:p w14:paraId="28D4E833" w14:textId="2628E34F" w:rsidR="003348A7" w:rsidRPr="00F87621" w:rsidRDefault="00000000" w:rsidP="00F87621">
      <w:pPr>
        <w:spacing w:line="276" w:lineRule="auto"/>
        <w:rPr>
          <w:rFonts w:asciiTheme="minorHAnsi" w:hAnsiTheme="minorHAnsi"/>
        </w:rPr>
      </w:pPr>
      <w:r w:rsidRPr="00F87621">
        <w:rPr>
          <w:rFonts w:asciiTheme="minorHAnsi" w:hAnsiTheme="minorHAnsi"/>
          <w:b/>
          <w:bCs/>
          <w:sz w:val="28"/>
          <w:szCs w:val="28"/>
        </w:rPr>
        <w:lastRenderedPageBreak/>
        <w:t>3. Resultados</w:t>
      </w:r>
    </w:p>
    <w:p w14:paraId="0ADCC3C0"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3.1 Descripción de la cohorte</w:t>
      </w:r>
    </w:p>
    <w:p w14:paraId="524E5159" w14:textId="77777777" w:rsidR="003348A7" w:rsidRPr="00F87621" w:rsidRDefault="00000000" w:rsidP="00F87621">
      <w:pPr>
        <w:spacing w:after="120" w:line="276" w:lineRule="auto"/>
        <w:jc w:val="both"/>
        <w:rPr>
          <w:rFonts w:asciiTheme="minorHAnsi" w:hAnsiTheme="minorHAnsi"/>
        </w:rPr>
      </w:pPr>
      <w:r w:rsidRPr="00F87621">
        <w:rPr>
          <w:rFonts w:asciiTheme="minorHAnsi" w:hAnsiTheme="minorHAnsi"/>
        </w:rPr>
        <w:t xml:space="preserve">La cohorte incluyó 12 pacientes con </w:t>
      </w:r>
      <w:r w:rsidRPr="00F87621">
        <w:rPr>
          <w:rFonts w:asciiTheme="minorHAnsi" w:hAnsiTheme="minorHAnsi"/>
          <w:b/>
          <w:bCs/>
        </w:rPr>
        <w:t>560 noches</w:t>
      </w:r>
      <w:r w:rsidRPr="00F87621">
        <w:rPr>
          <w:rFonts w:asciiTheme="minorHAnsi" w:hAnsiTheme="minorHAnsi"/>
        </w:rPr>
        <w:t xml:space="preserve"> y </w:t>
      </w:r>
      <w:r w:rsidRPr="00F87621">
        <w:rPr>
          <w:rFonts w:asciiTheme="minorHAnsi" w:hAnsiTheme="minorHAnsi"/>
          <w:b/>
          <w:bCs/>
        </w:rPr>
        <w:t>85.277 EDOs con morfotipo asignado</w:t>
      </w:r>
      <w:r w:rsidRPr="00F87621">
        <w:rPr>
          <w:rFonts w:asciiTheme="minorHAnsi" w:hAnsiTheme="minorHAnsi"/>
        </w:rPr>
        <w:t xml:space="preserve"> (98.8% del total detectado). La distribución de severidad fue: Leve 5.2%, Moderado 46.2%, Grave 38.9%, Muy grave 9.6% —cohorte sesgada hacia carga moderada-grave, no poblacional—. La Tabla 1 resume los índices nocturnos.</w:t>
      </w:r>
    </w:p>
    <w:p w14:paraId="4F948538" w14:textId="77777777" w:rsidR="00F87621" w:rsidRPr="00F87621" w:rsidRDefault="00F87621" w:rsidP="00F87621">
      <w:pPr>
        <w:spacing w:before="80" w:after="80" w:line="276" w:lineRule="auto"/>
        <w:rPr>
          <w:rFonts w:asciiTheme="minorHAnsi" w:hAnsiTheme="minorHAnsi"/>
          <w:b/>
          <w:bCs/>
          <w:sz w:val="20"/>
          <w:szCs w:val="20"/>
        </w:rPr>
      </w:pPr>
    </w:p>
    <w:p w14:paraId="2193B0CE" w14:textId="6F5CA0DF" w:rsidR="003348A7" w:rsidRPr="00F87621" w:rsidRDefault="00000000" w:rsidP="00F87621">
      <w:pPr>
        <w:spacing w:before="80" w:after="80" w:line="276" w:lineRule="auto"/>
        <w:rPr>
          <w:rFonts w:asciiTheme="minorHAnsi" w:hAnsiTheme="minorHAnsi"/>
        </w:rPr>
      </w:pPr>
      <w:r w:rsidRPr="00F87621">
        <w:rPr>
          <w:rFonts w:asciiTheme="minorHAnsi" w:hAnsiTheme="minorHAnsi"/>
          <w:b/>
          <w:bCs/>
          <w:sz w:val="20"/>
          <w:szCs w:val="20"/>
        </w:rPr>
        <w:t xml:space="preserve">Tabla 1. </w:t>
      </w:r>
      <w:r w:rsidRPr="00F87621">
        <w:rPr>
          <w:rFonts w:asciiTheme="minorHAnsi" w:hAnsiTheme="minorHAnsi"/>
          <w:sz w:val="20"/>
          <w:szCs w:val="20"/>
        </w:rPr>
        <w:t>Estadísticos descriptivos de índices nocturnos (560 noches).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900"/>
        <w:gridCol w:w="1026"/>
        <w:gridCol w:w="900"/>
        <w:gridCol w:w="1100"/>
      </w:tblGrid>
      <w:tr w:rsidR="003348A7" w:rsidRPr="00F87621" w14:paraId="7FDFCBF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F290C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A8CFC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37C29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30BE4D"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01403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09CA0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79FF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Máx</w:t>
            </w:r>
          </w:p>
        </w:tc>
      </w:tr>
      <w:tr w:rsidR="003348A7" w:rsidRPr="00F87621" w14:paraId="51B5CA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E19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8EDC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67F1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D3F1"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AEE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979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29D3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98.6</w:t>
            </w:r>
          </w:p>
        </w:tc>
      </w:tr>
      <w:tr w:rsidR="003348A7" w:rsidRPr="00F87621" w14:paraId="20111E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53FB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5E5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324E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B62D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BE9C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A9E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977A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91.5</w:t>
            </w:r>
          </w:p>
        </w:tc>
      </w:tr>
      <w:tr w:rsidR="003348A7" w:rsidRPr="00F87621" w14:paraId="146BD21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1CB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79D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4B24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3BD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8A6D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EE0D"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5D2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88.0</w:t>
            </w:r>
          </w:p>
        </w:tc>
      </w:tr>
      <w:tr w:rsidR="003348A7" w:rsidRPr="00F87621" w14:paraId="57D98E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6F73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6204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0A82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F6C4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AD68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421D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28B5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96.4</w:t>
            </w:r>
          </w:p>
        </w:tc>
      </w:tr>
      <w:tr w:rsidR="003348A7" w:rsidRPr="00F87621" w14:paraId="364383B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7AB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FDC2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DE48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46AB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E518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BB07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CC2A1"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100.8</w:t>
            </w:r>
          </w:p>
        </w:tc>
      </w:tr>
    </w:tbl>
    <w:p w14:paraId="571FD1AD" w14:textId="77777777" w:rsidR="003348A7" w:rsidRPr="00F87621" w:rsidRDefault="00000000" w:rsidP="00F87621">
      <w:pPr>
        <w:spacing w:after="200" w:line="276" w:lineRule="auto"/>
        <w:jc w:val="both"/>
        <w:rPr>
          <w:rFonts w:asciiTheme="minorHAnsi" w:hAnsiTheme="minorHAnsi"/>
        </w:rPr>
      </w:pPr>
      <w:r w:rsidRPr="00F87621">
        <w:rPr>
          <w:rFonts w:asciiTheme="minorHAnsi" w:hAnsiTheme="minorHAnsi"/>
          <w:i/>
          <w:iCs/>
          <w:sz w:val="18"/>
          <w:szCs w:val="18"/>
        </w:rPr>
        <w:t>ODI: índice de desaturación; T90: fracción de tiempo SpO₂&lt;90%; DE: desviación estándar; P50: mediana.</w:t>
      </w:r>
    </w:p>
    <w:p w14:paraId="2DC8A481" w14:textId="77777777" w:rsidR="000068AA" w:rsidRPr="00F87621" w:rsidRDefault="00000000" w:rsidP="00F87621">
      <w:pPr>
        <w:pStyle w:val="Ttulo2"/>
        <w:spacing w:line="276" w:lineRule="auto"/>
        <w:rPr>
          <w:rFonts w:asciiTheme="minorHAnsi" w:hAnsiTheme="minorHAnsi"/>
        </w:rPr>
      </w:pPr>
      <w:r w:rsidRPr="00F87621">
        <w:rPr>
          <w:rFonts w:asciiTheme="minorHAnsi" w:hAnsiTheme="minorHAnsi"/>
        </w:rPr>
        <w:t>3.2 Estructura morfológica de los eventos</w:t>
      </w:r>
    </w:p>
    <w:p w14:paraId="7ABBB269" w14:textId="137C9764" w:rsidR="003348A7" w:rsidRPr="00F87621" w:rsidRDefault="000068AA" w:rsidP="00F87621">
      <w:pPr>
        <w:pStyle w:val="Ttulo2"/>
        <w:spacing w:line="276" w:lineRule="auto"/>
        <w:rPr>
          <w:rFonts w:asciiTheme="minorHAnsi" w:hAnsiTheme="minorHAnsi"/>
        </w:rPr>
      </w:pPr>
      <w:r w:rsidRPr="00F87621">
        <w:rPr>
          <w:rFonts w:asciiTheme="minorHAnsi" w:hAnsiTheme="minorHAnsi"/>
          <w:noProof/>
        </w:rPr>
        <w:drawing>
          <wp:inline distT="0" distB="0" distL="0" distR="0" wp14:anchorId="327A7052" wp14:editId="5DBF74CE">
            <wp:extent cx="5739493" cy="3544837"/>
            <wp:effectExtent l="0" t="0" r="1270" b="0"/>
            <wp:docPr id="683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434" name="Imagen 6836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0347" cy="3551541"/>
                    </a:xfrm>
                    <a:prstGeom prst="rect">
                      <a:avLst/>
                    </a:prstGeom>
                  </pic:spPr>
                </pic:pic>
              </a:graphicData>
            </a:graphic>
          </wp:inline>
        </w:drawing>
      </w:r>
    </w:p>
    <w:p w14:paraId="7B3100F2" w14:textId="2A2995EC" w:rsidR="000068AA" w:rsidRPr="00F87621" w:rsidRDefault="000068AA" w:rsidP="00F87621">
      <w:pPr>
        <w:pStyle w:val="font-claude-response-body"/>
        <w:spacing w:after="0" w:afterAutospacing="0" w:line="276" w:lineRule="auto"/>
        <w:jc w:val="both"/>
        <w:rPr>
          <w:rFonts w:asciiTheme="minorHAnsi" w:hAnsiTheme="minorHAnsi"/>
          <w:sz w:val="18"/>
          <w:szCs w:val="18"/>
        </w:rPr>
      </w:pPr>
      <w:r w:rsidRPr="00F87621">
        <w:rPr>
          <w:rStyle w:val="Fuerte"/>
          <w:rFonts w:asciiTheme="minorHAnsi" w:hAnsiTheme="minorHAnsi"/>
          <w:sz w:val="18"/>
          <w:szCs w:val="18"/>
        </w:rPr>
        <w:t>Figura 1.</w:t>
      </w:r>
      <w:r w:rsidRPr="00F87621">
        <w:rPr>
          <w:rFonts w:asciiTheme="minorHAnsi" w:hAnsiTheme="minorHAnsi"/>
          <w:sz w:val="18"/>
          <w:szCs w:val="18"/>
        </w:rPr>
        <w:t xml:space="preserve"> Análisis de componentes principales (PCA) sobre las curvas de SpO</w:t>
      </w:r>
      <w:r w:rsidRPr="00F87621">
        <w:rPr>
          <w:rFonts w:asciiTheme="minorHAnsi" w:hAnsiTheme="minorHAnsi" w:cs="Cambria Math"/>
          <w:sz w:val="18"/>
          <w:szCs w:val="18"/>
        </w:rPr>
        <w:t>₂</w:t>
      </w:r>
      <w:r w:rsidRPr="00F87621">
        <w:rPr>
          <w:rFonts w:asciiTheme="minorHAnsi" w:hAnsiTheme="minorHAnsi"/>
          <w:sz w:val="18"/>
          <w:szCs w:val="18"/>
        </w:rPr>
        <w:t xml:space="preserve"> normalizadas (85.277 EDOs).</w:t>
      </w:r>
    </w:p>
    <w:p w14:paraId="4BABA8EE" w14:textId="0E2EE44A" w:rsidR="000068AA" w:rsidRPr="00F87621" w:rsidRDefault="005B4FF6" w:rsidP="00F87621">
      <w:pPr>
        <w:spacing w:line="276" w:lineRule="auto"/>
        <w:jc w:val="both"/>
        <w:rPr>
          <w:rFonts w:asciiTheme="minorHAnsi" w:hAnsiTheme="minorHAnsi"/>
          <w:sz w:val="18"/>
          <w:szCs w:val="18"/>
        </w:rPr>
      </w:pPr>
      <w:r w:rsidRPr="00F87621">
        <w:rPr>
          <w:rFonts w:asciiTheme="minorHAnsi" w:hAnsiTheme="minorHAnsi"/>
          <w:sz w:val="18"/>
          <w:szCs w:val="18"/>
        </w:rPr>
        <w:lastRenderedPageBreak/>
        <w:t>Scree plot, perfiles de carga de CP1–CP3 y proyección de eventos en el espacio PCA coloreados por morfotipo; los tres componentes explican el 83.9% de la varianza total y la separación entre clusters confirma que los fenotipos morfológicos ocupan regiones coherentes del espacio de componentes.</w:t>
      </w:r>
    </w:p>
    <w:p w14:paraId="65A2BAEA" w14:textId="77777777" w:rsidR="005B4FF6" w:rsidRPr="00F87621" w:rsidRDefault="005B4FF6" w:rsidP="00F87621">
      <w:pPr>
        <w:spacing w:line="276" w:lineRule="auto"/>
        <w:rPr>
          <w:rFonts w:asciiTheme="minorHAnsi" w:hAnsiTheme="minorHAnsi"/>
          <w:sz w:val="18"/>
          <w:szCs w:val="18"/>
        </w:rPr>
      </w:pPr>
    </w:p>
    <w:p w14:paraId="4789F4FE" w14:textId="4306301E" w:rsidR="005B4FF6" w:rsidRPr="00F87621" w:rsidRDefault="005B4FF6" w:rsidP="00F87621">
      <w:pPr>
        <w:spacing w:line="276" w:lineRule="auto"/>
        <w:jc w:val="both"/>
        <w:rPr>
          <w:rFonts w:asciiTheme="minorHAnsi" w:hAnsiTheme="minorHAnsi"/>
        </w:rPr>
      </w:pPr>
      <w:r w:rsidRPr="00F87621">
        <w:rPr>
          <w:rFonts w:asciiTheme="minorHAnsi" w:hAnsiTheme="minorHAnsi"/>
        </w:rPr>
        <w:t>El PCA aplicado sobre las 85.277 curvas normalizadas mostró que tres componentes principales explican el 83.9% de la varianza total (CP1: 62.9%, CP2: 14.0%, CP3: 7.0%). La interpretación fisiológica de cada componente surge directamente de su perfil de cargas: CP1 presenta carga uniforme a lo largo de toda la curva, capturando la profundidad global de la desaturación; CP2 muestra un patrón bifásico positivo-negativo que refleja la asimetría temporal entre la fase de caída y la de recuperación; CP3 exhibe un perfil en forma de campana centrado en la mitad del evento, asociado a la posición temporal del nadir. Esta estructura de baja dimensionalidad confirma que la morfología de los EDOs no es aleatoria sino que se organiza en ejes fisiológicos interpretables. La proyección de los eventos en el espacio PC1–PC2 y PC1–PC3 muestra además una separación visual entre morfotipos, anticipando que los clusters identificados por K-means se corresponden con regiones coherentes de ese espacio (figura 1).</w:t>
      </w:r>
    </w:p>
    <w:p w14:paraId="748089FE"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3.3 Fenotipos morfológicos C1–C5</w:t>
      </w:r>
    </w:p>
    <w:p w14:paraId="023ACA77" w14:textId="386DC0B0" w:rsidR="003348A7" w:rsidRPr="00F87621" w:rsidRDefault="00000000" w:rsidP="00F87621">
      <w:pPr>
        <w:spacing w:after="120" w:line="276" w:lineRule="auto"/>
        <w:jc w:val="both"/>
        <w:rPr>
          <w:rFonts w:asciiTheme="minorHAnsi" w:hAnsiTheme="minorHAnsi"/>
        </w:rPr>
      </w:pPr>
      <w:r w:rsidRPr="00F87621">
        <w:rPr>
          <w:rFonts w:asciiTheme="minorHAnsi" w:hAnsiTheme="minorHAnsi"/>
        </w:rPr>
        <w:t xml:space="preserve">El K-means identificó cinco morfotipos con características diferenciadas. La </w:t>
      </w:r>
      <w:r w:rsidRPr="00F87621">
        <w:rPr>
          <w:rFonts w:asciiTheme="minorHAnsi" w:hAnsiTheme="minorHAnsi"/>
          <w:b/>
          <w:bCs/>
        </w:rPr>
        <w:t>Figura 2</w:t>
      </w:r>
      <w:r w:rsidRPr="00F87621">
        <w:rPr>
          <w:rFonts w:asciiTheme="minorHAnsi" w:hAnsiTheme="minorHAnsi"/>
        </w:rPr>
        <w:t xml:space="preserve"> muestra las curvas promedio (±1 DE) y la distribución de frecuencias. La Tabla 2 resume las propiedades de cada cluster.</w:t>
      </w:r>
    </w:p>
    <w:p w14:paraId="2475EE01" w14:textId="77777777" w:rsidR="003348A7" w:rsidRPr="00F87621" w:rsidRDefault="00000000" w:rsidP="00F87621">
      <w:pPr>
        <w:spacing w:before="80" w:after="80" w:line="276" w:lineRule="auto"/>
        <w:rPr>
          <w:rFonts w:asciiTheme="minorHAnsi" w:hAnsiTheme="minorHAnsi"/>
        </w:rPr>
      </w:pPr>
      <w:r w:rsidRPr="00F87621">
        <w:rPr>
          <w:rFonts w:asciiTheme="minorHAnsi" w:hAnsiTheme="minorHAnsi"/>
          <w:b/>
          <w:bCs/>
          <w:sz w:val="20"/>
          <w:szCs w:val="20"/>
        </w:rPr>
        <w:t xml:space="preserve">Tabla 2. </w:t>
      </w:r>
      <w:r w:rsidRPr="00F87621">
        <w:rPr>
          <w:rFonts w:asciiTheme="minorHAnsi" w:hAnsiTheme="minorHAnsi"/>
          <w:sz w:val="20"/>
          <w:szCs w:val="20"/>
        </w:rPr>
        <w:t>Características de los cinco morfotipos (85.277 eventos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496"/>
        <w:gridCol w:w="1496"/>
        <w:gridCol w:w="1423"/>
        <w:gridCol w:w="1798"/>
        <w:gridCol w:w="1896"/>
      </w:tblGrid>
      <w:tr w:rsidR="003348A7" w:rsidRPr="00F87621" w14:paraId="4BDE3E26"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386DBD"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Cluster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D6C02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n (% total)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977A5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Nadir ΔSpO₂</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3DC02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ICC inter-noche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00D8B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Descripción</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6510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Categoría</w:t>
            </w:r>
          </w:p>
        </w:tc>
      </w:tr>
      <w:tr w:rsidR="003348A7" w:rsidRPr="00F87621" w14:paraId="70B744B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06C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EB5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55.175 (64.7%)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3E4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-1.7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0E6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0.601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51CFA"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Basal subcrítico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5714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Bajo</w:t>
            </w:r>
          </w:p>
        </w:tc>
      </w:tr>
      <w:tr w:rsidR="003348A7" w:rsidRPr="00F87621" w14:paraId="380B945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4532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8142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21.318 (25.0%)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A137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-3.8 pp</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299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0.682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CBD7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Leve a moderado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DB95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Bajo</w:t>
            </w:r>
          </w:p>
        </w:tc>
      </w:tr>
      <w:tr w:rsidR="003348A7" w:rsidRPr="00F87621" w14:paraId="3C857D5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E31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AB2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 xml:space="preserve"> 3.662  (4.3%)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705A"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-7.9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F23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8A7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Profundo simétrico (nadir 24%)</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0BB1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Alto</w:t>
            </w:r>
          </w:p>
        </w:tc>
      </w:tr>
      <w:tr w:rsidR="003348A7" w:rsidRPr="00F87621" w14:paraId="5B0DCB5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5C68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ECA3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 xml:space="preserve"> 4.301  (5.0%)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F91C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-8.6 pp</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7EF7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0.476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B355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Profundo tardío (nadir 72%)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B68B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Alto</w:t>
            </w:r>
          </w:p>
        </w:tc>
      </w:tr>
      <w:tr w:rsidR="003348A7" w:rsidRPr="00F87621" w14:paraId="67EAE51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8B2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AEF6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 xml:space="preserve">   821  (1.0%)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02C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-15.3 pp</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A8D9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D3D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Severo prolongado</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7D3F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Alto</w:t>
            </w:r>
          </w:p>
        </w:tc>
      </w:tr>
    </w:tbl>
    <w:p w14:paraId="2C227FEE" w14:textId="77777777" w:rsidR="00951FDF" w:rsidRPr="00F87621" w:rsidRDefault="00000000" w:rsidP="00F87621">
      <w:pPr>
        <w:spacing w:after="120" w:line="276" w:lineRule="auto"/>
        <w:jc w:val="both"/>
        <w:rPr>
          <w:rFonts w:asciiTheme="minorHAnsi" w:hAnsiTheme="minorHAnsi"/>
          <w:i/>
          <w:iCs/>
          <w:sz w:val="18"/>
          <w:szCs w:val="18"/>
        </w:rPr>
      </w:pPr>
      <w:r w:rsidRPr="00F87621">
        <w:rPr>
          <w:rFonts w:asciiTheme="minorHAnsi" w:hAnsiTheme="minorHAnsi"/>
          <w:i/>
          <w:iCs/>
          <w:sz w:val="18"/>
          <w:szCs w:val="18"/>
        </w:rPr>
        <w:t>ICC(1,1): coeficiente de correlación intraclase inter-noche; pp: puntos porcentuales</w:t>
      </w:r>
    </w:p>
    <w:p w14:paraId="65F456E4" w14:textId="6C21360D" w:rsidR="00951FDF" w:rsidRPr="00F87621" w:rsidRDefault="00951FDF" w:rsidP="00F87621">
      <w:pPr>
        <w:spacing w:line="276" w:lineRule="auto"/>
        <w:jc w:val="both"/>
        <w:rPr>
          <w:rFonts w:asciiTheme="minorHAnsi" w:hAnsiTheme="minorHAnsi"/>
        </w:rPr>
      </w:pPr>
      <w:r w:rsidRPr="00F87621">
        <w:rPr>
          <w:rFonts w:asciiTheme="minorHAnsi" w:hAnsiTheme="minorHAnsi"/>
        </w:rPr>
        <w:t xml:space="preserve">La selección de k=5 se fundamentó en el análisis de Silhouette sobre una muestra de 8.000 eventos: si bien el score decrece con k (0.644 para k=2, 0.214 para k=5), k=5 fue preferido sobre valores menores por su mayor granularidad fisiológica — k=2 y k=3 colapsan morfotipos con dinámicas temporales distintas en un mismo cluster (figura 2a). </w:t>
      </w:r>
    </w:p>
    <w:p w14:paraId="14195E67" w14:textId="77777777" w:rsidR="00951FDF" w:rsidRPr="00F87621" w:rsidRDefault="00951FDF" w:rsidP="00F87621">
      <w:pPr>
        <w:spacing w:line="276" w:lineRule="auto"/>
        <w:jc w:val="both"/>
        <w:rPr>
          <w:rFonts w:asciiTheme="minorHAnsi" w:hAnsiTheme="minorHAnsi"/>
        </w:rPr>
      </w:pPr>
    </w:p>
    <w:p w14:paraId="694AF8C7" w14:textId="51237CB2" w:rsidR="00951FDF" w:rsidRPr="00F87621" w:rsidRDefault="00951FDF" w:rsidP="00F87621">
      <w:pPr>
        <w:spacing w:line="276" w:lineRule="auto"/>
        <w:jc w:val="both"/>
        <w:rPr>
          <w:rFonts w:asciiTheme="minorHAnsi" w:hAnsiTheme="minorHAnsi"/>
        </w:rPr>
      </w:pPr>
      <w:r w:rsidRPr="00F87621">
        <w:rPr>
          <w:rFonts w:asciiTheme="minorHAnsi" w:hAnsiTheme="minorHAnsi"/>
        </w:rPr>
        <w:t xml:space="preserve">La distribución de eventos es marcadamente asimétrica: C1 y C2 concentran el 89.7% de los casos, mientras que C3, C4 y C5 representan fenotipos minoritarios pero fisiológicamente relevantes (figura 2b). </w:t>
      </w:r>
    </w:p>
    <w:p w14:paraId="615BE0FB" w14:textId="77777777" w:rsidR="00951FDF" w:rsidRPr="00F87621" w:rsidRDefault="00951FDF" w:rsidP="00F87621">
      <w:pPr>
        <w:spacing w:line="276" w:lineRule="auto"/>
        <w:jc w:val="both"/>
        <w:rPr>
          <w:rFonts w:asciiTheme="minorHAnsi" w:hAnsiTheme="minorHAnsi"/>
        </w:rPr>
      </w:pPr>
    </w:p>
    <w:p w14:paraId="3964B9FE" w14:textId="597388C3" w:rsidR="003348A7" w:rsidRPr="00F87621" w:rsidRDefault="00951FDF" w:rsidP="00F87621">
      <w:pPr>
        <w:spacing w:line="276" w:lineRule="auto"/>
        <w:jc w:val="both"/>
        <w:rPr>
          <w:rFonts w:asciiTheme="minorHAnsi" w:hAnsiTheme="minorHAnsi"/>
        </w:rPr>
      </w:pPr>
      <w:r w:rsidRPr="00F87621">
        <w:rPr>
          <w:rFonts w:asciiTheme="minorHAnsi" w:hAnsiTheme="minorHAnsi"/>
        </w:rPr>
        <w:t>Las curvas de SpO</w:t>
      </w:r>
      <w:r w:rsidRPr="00F87621">
        <w:rPr>
          <w:rFonts w:asciiTheme="minorHAnsi" w:hAnsiTheme="minorHAnsi" w:cs="Cambria Math"/>
        </w:rPr>
        <w:t>₂</w:t>
      </w:r>
      <w:r w:rsidRPr="00F87621">
        <w:rPr>
          <w:rFonts w:asciiTheme="minorHAnsi" w:hAnsiTheme="minorHAnsi"/>
        </w:rPr>
        <w:t xml:space="preserve"> normalizada (mediana ± IQR) confirman que cada cluster posee una firma morfológica distintiva: C1 presenta una caída plateau subcrítica (nadir −1.7 pp); C2 una caída gradual con recuperación simétrica (−3.8 pp); C3 un descenso pronunciado con nadir temprano al 50% del evento (−7.9 pp); C4 un nadir tardío al 75% con recuperación lenta (−8.6 pp); y C5 una desaturación severa y prolongada (−15.3 pp). La distinción entre C3 y C4, nadires de profundidad similar pero en posiciones temporales opuestas, es invisible para cualquier índice basado exclusivamente en amplitud o duración (figura 2c).</w:t>
      </w:r>
    </w:p>
    <w:p w14:paraId="6840160B" w14:textId="268FBAD0" w:rsidR="003348A7" w:rsidRPr="00F87621" w:rsidRDefault="000D3422" w:rsidP="00F87621">
      <w:pPr>
        <w:spacing w:before="200" w:after="60" w:line="276" w:lineRule="auto"/>
        <w:jc w:val="center"/>
        <w:rPr>
          <w:rFonts w:asciiTheme="minorHAnsi" w:hAnsiTheme="minorHAnsi"/>
        </w:rPr>
      </w:pPr>
      <w:r w:rsidRPr="00F87621">
        <w:rPr>
          <w:rFonts w:asciiTheme="minorHAnsi" w:hAnsiTheme="minorHAnsi"/>
          <w:noProof/>
        </w:rPr>
        <w:drawing>
          <wp:inline distT="0" distB="0" distL="0" distR="0" wp14:anchorId="72FE8AD0" wp14:editId="0FC98185">
            <wp:extent cx="5960110" cy="4439285"/>
            <wp:effectExtent l="0" t="0" r="0" b="5715"/>
            <wp:docPr id="13680380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8048" name="Imagen 1368038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4439285"/>
                    </a:xfrm>
                    <a:prstGeom prst="rect">
                      <a:avLst/>
                    </a:prstGeom>
                  </pic:spPr>
                </pic:pic>
              </a:graphicData>
            </a:graphic>
          </wp:inline>
        </w:drawing>
      </w:r>
    </w:p>
    <w:p w14:paraId="389B473A" w14:textId="1D083F78" w:rsidR="000D3422" w:rsidRPr="00F87621" w:rsidRDefault="000D3422" w:rsidP="00F87621">
      <w:pPr>
        <w:spacing w:line="276" w:lineRule="auto"/>
        <w:rPr>
          <w:rFonts w:asciiTheme="minorHAnsi" w:hAnsiTheme="minorHAnsi"/>
          <w:sz w:val="18"/>
          <w:szCs w:val="18"/>
        </w:rPr>
      </w:pPr>
      <w:r w:rsidRPr="00F87621">
        <w:rPr>
          <w:rFonts w:asciiTheme="minorHAnsi" w:hAnsiTheme="minorHAnsi"/>
          <w:sz w:val="18"/>
          <w:szCs w:val="18"/>
        </w:rPr>
        <w:t>Figura 2. Selección del número de clusters y perfiles morfológicos de los eventos de desaturación de oxígeno.</w:t>
      </w:r>
      <w:r w:rsidRPr="00F87621">
        <w:rPr>
          <w:rFonts w:asciiTheme="minorHAnsi" w:hAnsiTheme="minorHAnsi"/>
        </w:rPr>
        <w:t xml:space="preserve"> </w:t>
      </w:r>
      <w:r w:rsidRPr="00F87621">
        <w:rPr>
          <w:rFonts w:asciiTheme="minorHAnsi" w:hAnsiTheme="minorHAnsi"/>
          <w:sz w:val="18"/>
          <w:szCs w:val="18"/>
        </w:rPr>
        <w:t>a) Silhouette score vs número de clusters; k=5 seleccionado por interpretabilidad fisiológica. (b) Distribución de eventos por morfotipo. (c) Curvas de SpO</w:t>
      </w:r>
      <w:r w:rsidRPr="00F87621">
        <w:rPr>
          <w:rFonts w:asciiTheme="minorHAnsi" w:hAnsiTheme="minorHAnsi" w:cs="Cambria Math"/>
          <w:sz w:val="18"/>
          <w:szCs w:val="18"/>
        </w:rPr>
        <w:t>₂</w:t>
      </w:r>
      <w:r w:rsidRPr="00F87621">
        <w:rPr>
          <w:rFonts w:asciiTheme="minorHAnsi" w:hAnsiTheme="minorHAnsi"/>
          <w:sz w:val="18"/>
          <w:szCs w:val="18"/>
        </w:rPr>
        <w:t xml:space="preserve"> normalizada (mediana ± IQR) y centroide por cluster.</w:t>
      </w:r>
    </w:p>
    <w:p w14:paraId="00BF8377" w14:textId="77777777" w:rsidR="00A803D7" w:rsidRPr="00F87621" w:rsidRDefault="00A803D7" w:rsidP="00F87621">
      <w:pPr>
        <w:spacing w:before="240" w:line="276" w:lineRule="auto"/>
        <w:rPr>
          <w:rFonts w:asciiTheme="minorHAnsi" w:eastAsia="Times New Roman" w:hAnsiTheme="minorHAnsi" w:cs="Times New Roman"/>
          <w:b/>
          <w:bCs/>
          <w:color w:val="000000"/>
          <w:sz w:val="21"/>
          <w:szCs w:val="21"/>
        </w:rPr>
      </w:pPr>
    </w:p>
    <w:p w14:paraId="59A55B39" w14:textId="77777777" w:rsidR="00A803D7" w:rsidRPr="00F87621" w:rsidRDefault="00A803D7" w:rsidP="00F87621">
      <w:pPr>
        <w:spacing w:after="240" w:line="276" w:lineRule="auto"/>
        <w:jc w:val="both"/>
        <w:rPr>
          <w:rFonts w:asciiTheme="minorHAnsi" w:hAnsiTheme="minorHAnsi"/>
        </w:rPr>
      </w:pPr>
      <w:r w:rsidRPr="00F87621">
        <w:rPr>
          <w:rFonts w:asciiTheme="minorHAnsi" w:hAnsiTheme="minorHAnsi"/>
        </w:rPr>
        <w:t>El análisis multimodal reveló que la respuesta sistémica a los EDOs no escala linealmente con la profundidad de la desaturación (Figura 3).</w:t>
      </w:r>
    </w:p>
    <w:p w14:paraId="37A9769E" w14:textId="36069E06" w:rsidR="00A803D7" w:rsidRPr="00F87621" w:rsidRDefault="00A803D7" w:rsidP="00F87621">
      <w:pPr>
        <w:spacing w:after="240" w:line="276" w:lineRule="auto"/>
        <w:jc w:val="both"/>
        <w:rPr>
          <w:rFonts w:asciiTheme="minorHAnsi" w:hAnsiTheme="minorHAnsi"/>
        </w:rPr>
      </w:pPr>
      <w:r w:rsidRPr="00F87621">
        <w:rPr>
          <w:rFonts w:asciiTheme="minorHAnsi" w:hAnsiTheme="minorHAnsi"/>
        </w:rPr>
        <w:lastRenderedPageBreak/>
        <w:t>C1 y C2 muestran impacto sistémico mínimo en ambos ejes: incrementos de FC de +1.3 y +2.0 lpm respectivamente, con niveles de movimiento basales, consistentes con eventos subcríticos sin activación autonómica significativa.</w:t>
      </w:r>
    </w:p>
    <w:p w14:paraId="7B386E3A" w14:textId="73A1EEAC" w:rsidR="00A803D7" w:rsidRPr="00F87621" w:rsidRDefault="00A803D7" w:rsidP="00F87621">
      <w:pPr>
        <w:spacing w:after="240" w:line="276" w:lineRule="auto"/>
        <w:jc w:val="both"/>
        <w:rPr>
          <w:rFonts w:asciiTheme="minorHAnsi" w:hAnsiTheme="minorHAnsi"/>
        </w:rPr>
      </w:pPr>
      <w:r w:rsidRPr="00F87621">
        <w:rPr>
          <w:rFonts w:asciiTheme="minorHAnsi" w:hAnsiTheme="minorHAnsi"/>
        </w:rPr>
        <w:t>Los morfotipos C3, C4 y C5 —similares en profundidad de SpO</w:t>
      </w:r>
      <w:r w:rsidRPr="00F87621">
        <w:rPr>
          <w:rFonts w:asciiTheme="minorHAnsi" w:hAnsiTheme="minorHAnsi" w:cs="Cambria Math"/>
        </w:rPr>
        <w:t>₂</w:t>
      </w:r>
      <w:r w:rsidRPr="00F87621">
        <w:rPr>
          <w:rFonts w:asciiTheme="minorHAnsi" w:hAnsiTheme="minorHAnsi"/>
        </w:rPr>
        <w:t>— exhiben patrones de respuesta cualitativamente distintos. C3 combina movimiento elevado con respuesta cardíaca modesta (+2.0 lpm), sugiriendo arousal físico con taquicardia compensatoria limitada. C4 presenta la mayor respuesta de FC del corpus (+3.4 lpm) con movimiento moderado (perfil cardiovascularmente estresante sin despertar completo), potencialmente el fenotipo de mayor riesgo silencioso. C5, pese a exhibir la desaturación más severa y movimiento alto, muestra una respuesta cardíaca paradójicamente baja (+1.0 bpm), compatible con adaptación autonómica a hipoxia crónica severa o respuesta vagal paradójica.</w:t>
      </w:r>
    </w:p>
    <w:p w14:paraId="36C5E1A6" w14:textId="557942A4" w:rsidR="00A803D7" w:rsidRPr="00F87621" w:rsidRDefault="00A803D7" w:rsidP="00F87621">
      <w:pPr>
        <w:spacing w:line="276" w:lineRule="auto"/>
        <w:jc w:val="both"/>
        <w:rPr>
          <w:rFonts w:asciiTheme="minorHAnsi" w:hAnsiTheme="minorHAnsi"/>
        </w:rPr>
      </w:pPr>
      <w:r w:rsidRPr="00F87621">
        <w:rPr>
          <w:rFonts w:asciiTheme="minorHAnsi" w:hAnsiTheme="minorHAnsi"/>
        </w:rPr>
        <w:t>La disociación entre respuesta de FC y movimiento en C3, C4 y C5 constituye la ganancia clínica más relevante del enfoque multimodal: la SpO</w:t>
      </w:r>
      <w:r w:rsidRPr="00F87621">
        <w:rPr>
          <w:rFonts w:asciiTheme="minorHAnsi" w:hAnsiTheme="minorHAnsi" w:cs="Cambria Math"/>
        </w:rPr>
        <w:t>₂</w:t>
      </w:r>
      <w:r w:rsidRPr="00F87621">
        <w:rPr>
          <w:rFonts w:asciiTheme="minorHAnsi" w:hAnsiTheme="minorHAnsi"/>
        </w:rPr>
        <w:t xml:space="preserve"> sola no permite distinguir estos tres fenotipos de respuesta, que implican mecanismos fisiopatológicos y riesgos clínicos distintos.</w:t>
      </w:r>
    </w:p>
    <w:p w14:paraId="025B1A4F" w14:textId="2442EE8A" w:rsidR="00951FDF" w:rsidRPr="00F87621" w:rsidRDefault="00A803D7" w:rsidP="00F87621">
      <w:pPr>
        <w:pStyle w:val="Ttulo2"/>
        <w:spacing w:line="276" w:lineRule="auto"/>
        <w:rPr>
          <w:rFonts w:asciiTheme="minorHAnsi" w:hAnsiTheme="minorHAnsi"/>
        </w:rPr>
      </w:pPr>
      <w:r w:rsidRPr="00F87621">
        <w:rPr>
          <w:rFonts w:asciiTheme="minorHAnsi" w:hAnsiTheme="minorHAnsi"/>
          <w:noProof/>
        </w:rPr>
        <w:drawing>
          <wp:inline distT="0" distB="0" distL="0" distR="0" wp14:anchorId="578A7A6C" wp14:editId="27FE5FB4">
            <wp:extent cx="5960110" cy="2361565"/>
            <wp:effectExtent l="0" t="0" r="0" b="635"/>
            <wp:docPr id="18640706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2361565"/>
                    </a:xfrm>
                    <a:prstGeom prst="rect">
                      <a:avLst/>
                    </a:prstGeom>
                    <a:noFill/>
                    <a:ln>
                      <a:noFill/>
                    </a:ln>
                  </pic:spPr>
                </pic:pic>
              </a:graphicData>
            </a:graphic>
          </wp:inline>
        </w:drawing>
      </w:r>
    </w:p>
    <w:p w14:paraId="4D56E5BE" w14:textId="48059230" w:rsidR="00A803D7" w:rsidRPr="00F87621" w:rsidRDefault="00A803D7" w:rsidP="00F87621">
      <w:pPr>
        <w:spacing w:line="276" w:lineRule="auto"/>
        <w:jc w:val="both"/>
        <w:rPr>
          <w:rFonts w:asciiTheme="minorHAnsi" w:hAnsiTheme="minorHAnsi"/>
          <w:sz w:val="20"/>
          <w:szCs w:val="20"/>
        </w:rPr>
      </w:pPr>
      <w:r w:rsidRPr="00F87621">
        <w:rPr>
          <w:rStyle w:val="Fuerte"/>
          <w:rFonts w:asciiTheme="minorHAnsi" w:hAnsiTheme="minorHAnsi"/>
          <w:sz w:val="20"/>
          <w:szCs w:val="20"/>
        </w:rPr>
        <w:t>Figura 3.</w:t>
      </w:r>
      <w:r w:rsidRPr="00F87621">
        <w:rPr>
          <w:rFonts w:asciiTheme="minorHAnsi" w:hAnsiTheme="minorHAnsi"/>
          <w:sz w:val="20"/>
          <w:szCs w:val="20"/>
        </w:rPr>
        <w:t xml:space="preserve"> Perfiles de frecuencia cardíaca (A) y movimiento (B) durante los EDOs por morfotipo (mediana ± IQR). C4 exhibe la mayor respuesta de FC (+3.4 lpm) con movimiento moderado; C3 y C5 muestran movimiento elevado (~32 unidades arbitrarias, u.a.) con respuesta cardíaca modesta, evidenciando la disociación HR/MOV que la SpO</w:t>
      </w:r>
      <w:r w:rsidRPr="00F87621">
        <w:rPr>
          <w:rFonts w:asciiTheme="minorHAnsi" w:hAnsiTheme="minorHAnsi" w:cs="Cambria Math"/>
          <w:sz w:val="20"/>
          <w:szCs w:val="20"/>
        </w:rPr>
        <w:t>₂</w:t>
      </w:r>
      <w:r w:rsidRPr="00F87621">
        <w:rPr>
          <w:rFonts w:asciiTheme="minorHAnsi" w:hAnsiTheme="minorHAnsi"/>
          <w:sz w:val="20"/>
          <w:szCs w:val="20"/>
        </w:rPr>
        <w:t xml:space="preserve"> sola no permite detectar.</w:t>
      </w:r>
    </w:p>
    <w:p w14:paraId="2F8056E0" w14:textId="5E767B0A" w:rsidR="003348A7" w:rsidRPr="00F87621" w:rsidRDefault="00000000" w:rsidP="00F87621">
      <w:pPr>
        <w:pStyle w:val="Ttulo2"/>
        <w:spacing w:line="276" w:lineRule="auto"/>
        <w:rPr>
          <w:rFonts w:asciiTheme="minorHAnsi" w:hAnsiTheme="minorHAnsi"/>
        </w:rPr>
      </w:pPr>
      <w:r w:rsidRPr="00F87621">
        <w:rPr>
          <w:rFonts w:asciiTheme="minorHAnsi" w:hAnsiTheme="minorHAnsi"/>
        </w:rPr>
        <w:t>3.4 ARI como dimensión fisiológica ortogonal</w:t>
      </w:r>
    </w:p>
    <w:p w14:paraId="49FA94D2" w14:textId="77777777" w:rsidR="006C78A7" w:rsidRPr="00F87621" w:rsidRDefault="006C78A7" w:rsidP="00F87621">
      <w:pPr>
        <w:pStyle w:val="font-claude-response-body"/>
        <w:spacing w:line="276" w:lineRule="auto"/>
        <w:jc w:val="both"/>
        <w:rPr>
          <w:rFonts w:asciiTheme="minorHAnsi" w:hAnsiTheme="minorHAnsi"/>
        </w:rPr>
      </w:pPr>
      <w:r w:rsidRPr="00F87621">
        <w:rPr>
          <w:rFonts w:asciiTheme="minorHAnsi" w:hAnsiTheme="minorHAnsi"/>
        </w:rPr>
        <w:t>La correlación de Spearman fue ρ=0.034 (p&lt;10</w:t>
      </w:r>
      <w:r w:rsidRPr="00F87621">
        <w:rPr>
          <w:rFonts w:ascii="Cambria Math" w:hAnsi="Cambria Math" w:cs="Cambria Math"/>
        </w:rPr>
        <w:t>⁻</w:t>
      </w:r>
      <w:r w:rsidRPr="00F87621">
        <w:rPr>
          <w:rFonts w:asciiTheme="minorHAnsi" w:hAnsiTheme="minorHAnsi"/>
        </w:rPr>
        <w:t>²³) —prácticamente nulo pese a la significancia estadística esperable en muestras de esta magnitud—, indicando que la severidad morfológica explica menos del 0.1% de la varianza del ARI y confirmando independencia clínica entre ambas dimensiones.</w:t>
      </w:r>
    </w:p>
    <w:p w14:paraId="5D24569D" w14:textId="0DEE2823" w:rsidR="00CF099D" w:rsidRPr="00F87621" w:rsidRDefault="00B10391" w:rsidP="00F87621">
      <w:pPr>
        <w:pStyle w:val="font-claude-response-body"/>
        <w:spacing w:line="276" w:lineRule="auto"/>
        <w:jc w:val="both"/>
        <w:rPr>
          <w:rFonts w:asciiTheme="minorHAnsi" w:hAnsiTheme="minorHAnsi"/>
        </w:rPr>
      </w:pPr>
      <w:r w:rsidRPr="00F87621">
        <w:rPr>
          <w:rFonts w:asciiTheme="minorHAnsi" w:hAnsiTheme="minorHAnsi"/>
          <w:noProof/>
        </w:rPr>
        <w:lastRenderedPageBreak/>
        <w:drawing>
          <wp:anchor distT="0" distB="0" distL="114300" distR="114300" simplePos="0" relativeHeight="251660288" behindDoc="0" locked="0" layoutInCell="1" allowOverlap="1" wp14:anchorId="4BE6D7BE" wp14:editId="3D19DE0E">
            <wp:simplePos x="0" y="0"/>
            <wp:positionH relativeFrom="column">
              <wp:posOffset>1536588</wp:posOffset>
            </wp:positionH>
            <wp:positionV relativeFrom="paragraph">
              <wp:posOffset>1106133</wp:posOffset>
            </wp:positionV>
            <wp:extent cx="2939561" cy="2890157"/>
            <wp:effectExtent l="0" t="0" r="0" b="5715"/>
            <wp:wrapTopAndBottom/>
            <wp:docPr id="8865647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4743" name="Imagen 8865647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9561" cy="2890157"/>
                    </a:xfrm>
                    <a:prstGeom prst="rect">
                      <a:avLst/>
                    </a:prstGeom>
                  </pic:spPr>
                </pic:pic>
              </a:graphicData>
            </a:graphic>
            <wp14:sizeRelH relativeFrom="page">
              <wp14:pctWidth>0</wp14:pctWidth>
            </wp14:sizeRelH>
            <wp14:sizeRelV relativeFrom="page">
              <wp14:pctHeight>0</wp14:pctHeight>
            </wp14:sizeRelV>
          </wp:anchor>
        </w:drawing>
      </w:r>
      <w:r w:rsidR="00CF099D" w:rsidRPr="00F87621">
        <w:rPr>
          <w:rFonts w:asciiTheme="minorHAnsi" w:hAnsiTheme="minorHAnsi"/>
        </w:rPr>
        <w:t xml:space="preserve">Esta independencia se verifica desde dos ángulos complementarios. Por un lado, el AUC para discriminar eventos severos (C4+C5) de no severos (C1–C3) en base al ARI fue 0.453, equivalente al azar, indicando que el índice no separa morfotipos por su respuesta (Figura 4). </w:t>
      </w:r>
    </w:p>
    <w:p w14:paraId="00230117" w14:textId="42AD504B" w:rsidR="00CF099D" w:rsidRPr="00F87621" w:rsidRDefault="00CF099D" w:rsidP="00F87621">
      <w:pPr>
        <w:pStyle w:val="font-claude-response-body"/>
        <w:spacing w:line="276" w:lineRule="auto"/>
        <w:jc w:val="both"/>
        <w:rPr>
          <w:rFonts w:asciiTheme="minorHAnsi" w:hAnsiTheme="minorHAnsi"/>
        </w:rPr>
      </w:pPr>
    </w:p>
    <w:p w14:paraId="7FA360B2" w14:textId="5C0D3022" w:rsidR="00CF099D" w:rsidRPr="00F87621" w:rsidRDefault="00CF099D" w:rsidP="00F87621">
      <w:pPr>
        <w:pStyle w:val="font-claude-response-body"/>
        <w:spacing w:line="276" w:lineRule="auto"/>
        <w:jc w:val="both"/>
        <w:rPr>
          <w:rFonts w:asciiTheme="minorHAnsi" w:hAnsiTheme="minorHAnsi"/>
          <w:sz w:val="18"/>
          <w:szCs w:val="18"/>
        </w:rPr>
      </w:pPr>
      <w:r w:rsidRPr="00F87621">
        <w:rPr>
          <w:rStyle w:val="Fuerte"/>
          <w:rFonts w:asciiTheme="minorHAnsi" w:hAnsiTheme="minorHAnsi"/>
          <w:sz w:val="18"/>
          <w:szCs w:val="18"/>
        </w:rPr>
        <w:t>Figura 4.</w:t>
      </w:r>
      <w:r w:rsidRPr="00F87621">
        <w:rPr>
          <w:rFonts w:asciiTheme="minorHAnsi" w:hAnsiTheme="minorHAnsi"/>
          <w:sz w:val="18"/>
          <w:szCs w:val="18"/>
        </w:rPr>
        <w:t xml:space="preserve"> Curva ROC del ARI para discriminar eventos de morfotipo severo (C4+C5) vs. no severo (C1–C3). AUC=0.453, no superior al azar, confirmando que el ARI no predice la severidad morfológica del evento.</w:t>
      </w:r>
    </w:p>
    <w:p w14:paraId="500B4DB1" w14:textId="714675D1" w:rsidR="00CF099D" w:rsidRPr="00F87621" w:rsidRDefault="00CF099D" w:rsidP="00F87621">
      <w:pPr>
        <w:pStyle w:val="font-claude-response-body"/>
        <w:spacing w:line="276" w:lineRule="auto"/>
        <w:jc w:val="both"/>
        <w:rPr>
          <w:rFonts w:asciiTheme="minorHAnsi" w:hAnsiTheme="minorHAnsi"/>
        </w:rPr>
      </w:pPr>
      <w:r w:rsidRPr="00F87621">
        <w:rPr>
          <w:rFonts w:asciiTheme="minorHAnsi" w:hAnsiTheme="minorHAnsi"/>
        </w:rPr>
        <w:t>Por otro lado, la mediana del ARI por cluster varía apenas entre 0.44 y 0.52 sin tendencia monótona con la severidad, con intervalos de confianza bootstrap solapados entre todos los clusters (Figura 5).</w:t>
      </w:r>
    </w:p>
    <w:p w14:paraId="32BD9B58" w14:textId="29B8CEB1" w:rsidR="00D55B8C" w:rsidRPr="00F87621" w:rsidRDefault="00CF099D" w:rsidP="00F87621">
      <w:pPr>
        <w:pStyle w:val="font-claude-response-body"/>
        <w:spacing w:line="276" w:lineRule="auto"/>
        <w:jc w:val="both"/>
        <w:rPr>
          <w:rFonts w:asciiTheme="minorHAnsi" w:hAnsiTheme="minorHAnsi"/>
        </w:rPr>
      </w:pPr>
      <w:r w:rsidRPr="00F87621">
        <w:rPr>
          <w:rFonts w:asciiTheme="minorHAnsi" w:hAnsiTheme="minorHAnsi"/>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1D24A07E" w14:textId="77777777" w:rsidR="00CF099D" w:rsidRPr="00F87621" w:rsidRDefault="00CF099D" w:rsidP="00F87621">
      <w:pPr>
        <w:spacing w:after="200" w:line="276" w:lineRule="auto"/>
        <w:jc w:val="both"/>
        <w:rPr>
          <w:rFonts w:asciiTheme="minorHAnsi" w:hAnsiTheme="minorHAnsi"/>
        </w:rPr>
      </w:pPr>
    </w:p>
    <w:p w14:paraId="6D6D073D" w14:textId="7FB47796" w:rsidR="00D55B8C" w:rsidRPr="00F87621" w:rsidRDefault="006C78A7" w:rsidP="00F87621">
      <w:pPr>
        <w:spacing w:after="200" w:line="276" w:lineRule="auto"/>
        <w:jc w:val="center"/>
        <w:rPr>
          <w:rFonts w:asciiTheme="minorHAnsi" w:hAnsiTheme="minorHAnsi"/>
        </w:rPr>
      </w:pPr>
      <w:r w:rsidRPr="00F87621">
        <w:rPr>
          <w:rFonts w:asciiTheme="minorHAnsi" w:hAnsiTheme="minorHAnsi"/>
          <w:noProof/>
        </w:rPr>
        <w:lastRenderedPageBreak/>
        <w:drawing>
          <wp:inline distT="0" distB="0" distL="0" distR="0" wp14:anchorId="495CBCE3" wp14:editId="3209CD68">
            <wp:extent cx="3045278" cy="2528155"/>
            <wp:effectExtent l="0" t="0" r="3175" b="0"/>
            <wp:docPr id="18992227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2714" name="Imagen 1899222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6956" cy="2554453"/>
                    </a:xfrm>
                    <a:prstGeom prst="rect">
                      <a:avLst/>
                    </a:prstGeom>
                  </pic:spPr>
                </pic:pic>
              </a:graphicData>
            </a:graphic>
          </wp:inline>
        </w:drawing>
      </w:r>
    </w:p>
    <w:p w14:paraId="41C584E8" w14:textId="77777777" w:rsidR="00A56117" w:rsidRPr="00F87621" w:rsidRDefault="00A56117" w:rsidP="00F87621">
      <w:pPr>
        <w:spacing w:after="200" w:line="276" w:lineRule="auto"/>
        <w:jc w:val="center"/>
        <w:rPr>
          <w:rFonts w:asciiTheme="minorHAnsi" w:hAnsiTheme="minorHAnsi"/>
        </w:rPr>
      </w:pPr>
    </w:p>
    <w:p w14:paraId="0C9FCF64" w14:textId="4E6F11AC" w:rsidR="003348A7" w:rsidRPr="00F87621" w:rsidRDefault="00C922E4" w:rsidP="00F87621">
      <w:pPr>
        <w:spacing w:line="276" w:lineRule="auto"/>
        <w:rPr>
          <w:rFonts w:asciiTheme="minorHAnsi" w:hAnsiTheme="minorHAnsi"/>
          <w:sz w:val="18"/>
          <w:szCs w:val="18"/>
        </w:rPr>
      </w:pPr>
      <w:r w:rsidRPr="00F87621">
        <w:rPr>
          <w:rStyle w:val="Fuerte"/>
          <w:rFonts w:asciiTheme="minorHAnsi" w:hAnsiTheme="minorHAnsi"/>
          <w:sz w:val="18"/>
          <w:szCs w:val="18"/>
        </w:rPr>
        <w:t>Figura 5.</w:t>
      </w:r>
      <w:r w:rsidRPr="00F87621">
        <w:rPr>
          <w:rFonts w:asciiTheme="minorHAnsi" w:hAnsiTheme="minorHAnsi"/>
          <w:sz w:val="18"/>
          <w:szCs w:val="18"/>
        </w:rPr>
        <w:t xml:space="preserve"> ARI como dimensión ortogonal. A: mediana del ARI por cluster morfológico (IC 95% bootstrap); las barras son prácticamente constantes entre C1 y C5 (rango 0.44–0.52), sin tendencia monótona con la severidad. B: distribución del ARI vs. severidad morfológica (hexbin, n=84.248); la uniformidad vertical de cada columna confirma ρ=0.034 —la severidad morfológica explica menos del 0.1% de la varianza del ARI—.</w:t>
      </w:r>
      <w:r w:rsidRPr="00F87621">
        <w:rPr>
          <w:rFonts w:asciiTheme="minorHAnsi" w:hAnsiTheme="minorHAnsi"/>
          <w:b/>
          <w:bCs/>
          <w:sz w:val="18"/>
          <w:szCs w:val="18"/>
        </w:rPr>
        <w:t>3.5 Perfiles fisiológicos multimodales</w:t>
      </w:r>
    </w:p>
    <w:p w14:paraId="34D79575" w14:textId="77777777" w:rsidR="00C922E4" w:rsidRPr="00F87621" w:rsidRDefault="00C922E4" w:rsidP="00F87621">
      <w:pPr>
        <w:spacing w:after="120" w:line="276" w:lineRule="auto"/>
        <w:jc w:val="both"/>
        <w:rPr>
          <w:rFonts w:asciiTheme="minorHAnsi" w:hAnsiTheme="minorHAnsi"/>
        </w:rPr>
      </w:pPr>
    </w:p>
    <w:p w14:paraId="78CACD80" w14:textId="1A1D232C" w:rsidR="00A56117" w:rsidRPr="00F87621" w:rsidRDefault="00A56117" w:rsidP="00F87621">
      <w:pPr>
        <w:pStyle w:val="Ttulo2"/>
        <w:spacing w:line="276" w:lineRule="auto"/>
        <w:rPr>
          <w:rFonts w:asciiTheme="minorHAnsi" w:hAnsiTheme="minorHAnsi"/>
        </w:rPr>
      </w:pPr>
      <w:r w:rsidRPr="00F87621">
        <w:rPr>
          <w:rFonts w:asciiTheme="minorHAnsi" w:hAnsiTheme="minorHAnsi"/>
        </w:rPr>
        <w:t>3.5 Perfiles fisiológicos multimodales</w:t>
      </w:r>
    </w:p>
    <w:p w14:paraId="69E3F216" w14:textId="5052F033" w:rsidR="003348A7" w:rsidRPr="00F87621" w:rsidRDefault="00000000" w:rsidP="00F87621">
      <w:pPr>
        <w:spacing w:after="120" w:line="276" w:lineRule="auto"/>
        <w:jc w:val="both"/>
        <w:rPr>
          <w:rFonts w:asciiTheme="minorHAnsi" w:hAnsiTheme="minorHAnsi"/>
        </w:rPr>
      </w:pPr>
      <w:r w:rsidRPr="00F87621">
        <w:rPr>
          <w:rFonts w:asciiTheme="minorHAnsi" w:hAnsiTheme="minorHAnsi"/>
        </w:rPr>
        <w:t>La ganancia de FC (ΔHR/ΔSpO₂) fue decreciente con la severidad del cluster: C1=0.63, C2=0.53, C3=0.21, C4=0.31, C5=0.04 lpm/pp. C5 exhibe prácticamente respuesta nula (</w:t>
      </w:r>
      <w:r w:rsidRPr="00F87621">
        <w:rPr>
          <w:rFonts w:asciiTheme="minorHAnsi" w:hAnsiTheme="minorHAnsi"/>
          <w:i/>
          <w:iCs/>
        </w:rPr>
        <w:t>silencio autonómico</w:t>
      </w:r>
      <w:r w:rsidRPr="00F87621">
        <w:rPr>
          <w:rFonts w:asciiTheme="minorHAnsi" w:hAnsiTheme="minorHAnsi"/>
        </w:rPr>
        <w:t>) a pesar de nadires de −15.3 pp. La Tabla 3 resume los valores de ARI y ganancia de FC.</w:t>
      </w:r>
    </w:p>
    <w:p w14:paraId="68CB3020" w14:textId="77777777" w:rsidR="003348A7" w:rsidRPr="00F87621" w:rsidRDefault="00000000" w:rsidP="00F87621">
      <w:pPr>
        <w:spacing w:before="80" w:after="80" w:line="276" w:lineRule="auto"/>
        <w:rPr>
          <w:rFonts w:asciiTheme="minorHAnsi" w:hAnsiTheme="minorHAnsi"/>
        </w:rPr>
      </w:pPr>
      <w:r w:rsidRPr="00F87621">
        <w:rPr>
          <w:rFonts w:asciiTheme="minorHAnsi" w:hAnsiTheme="minorHAnsi"/>
          <w:b/>
          <w:bCs/>
          <w:sz w:val="20"/>
          <w:szCs w:val="20"/>
        </w:rPr>
        <w:t xml:space="preserve">Tabla 3. </w:t>
      </w:r>
      <w:r w:rsidRPr="00F87621">
        <w:rPr>
          <w:rFonts w:asciiTheme="minorHAnsi" w:hAnsiTheme="minorHAnsi"/>
          <w:sz w:val="20"/>
          <w:szCs w:val="20"/>
        </w:rPr>
        <w:t>ARI y ganancia de FC por morfotipo.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695"/>
        <w:gridCol w:w="1697"/>
        <w:gridCol w:w="1624"/>
        <w:gridCol w:w="3093"/>
      </w:tblGrid>
      <w:tr w:rsidR="003348A7" w:rsidRPr="00F87621" w14:paraId="121D269F"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2184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Cluster</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6B82FD"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ARI media ± DE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8CFA2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ARI mediana</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586A1"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Ganancia FC (lpm/pp)</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EAADD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Interpretación autonómica</w:t>
            </w:r>
          </w:p>
        </w:tc>
      </w:tr>
      <w:tr w:rsidR="003348A7" w:rsidRPr="00F87621" w14:paraId="01F04E8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56BD"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F543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0.491 ± 0.205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FC89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0.502</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D1E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0.633</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823C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Respuesta proporcional normal</w:t>
            </w:r>
          </w:p>
        </w:tc>
      </w:tr>
      <w:tr w:rsidR="003348A7" w:rsidRPr="00F87621" w14:paraId="7ADC4A8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03E7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A583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0.526 ± 0.185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825A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0.522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95D6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0.528</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1C55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Respuesta activa, levemente elevada</w:t>
            </w:r>
          </w:p>
        </w:tc>
      </w:tr>
      <w:tr w:rsidR="003348A7" w:rsidRPr="00F87621" w14:paraId="68CE989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5336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EB9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0.509 ± 0.146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506E"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0.490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404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0.209</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A1BE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Respuesta atenuada</w:t>
            </w:r>
          </w:p>
        </w:tc>
      </w:tr>
      <w:tr w:rsidR="003348A7" w:rsidRPr="00F87621" w14:paraId="68A309B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16B0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36A3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0.489 ± 0.143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DCFAA"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0.480</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47BE1"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0.307</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15FC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Respuesta reducida</w:t>
            </w:r>
          </w:p>
        </w:tc>
      </w:tr>
      <w:tr w:rsidR="003348A7" w:rsidRPr="00F87621" w14:paraId="1D65E5B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777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C5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DCB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0.422 ± 0.105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FDD3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0.431</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FE78"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0.040</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D19D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Silencio autonómico</w:t>
            </w:r>
          </w:p>
        </w:tc>
      </w:tr>
    </w:tbl>
    <w:p w14:paraId="692A5A65" w14:textId="77777777" w:rsidR="003348A7" w:rsidRPr="00F87621" w:rsidRDefault="00000000" w:rsidP="00F87621">
      <w:pPr>
        <w:spacing w:after="200" w:line="276" w:lineRule="auto"/>
        <w:jc w:val="both"/>
        <w:rPr>
          <w:rFonts w:asciiTheme="minorHAnsi" w:hAnsiTheme="minorHAnsi"/>
        </w:rPr>
      </w:pPr>
      <w:r w:rsidRPr="00F87621">
        <w:rPr>
          <w:rFonts w:asciiTheme="minorHAnsi" w:hAnsiTheme="minorHAnsi"/>
          <w:i/>
          <w:iCs/>
          <w:sz w:val="18"/>
          <w:szCs w:val="18"/>
        </w:rPr>
        <w:t>ARI: Índice de Respuesta Autonómica (0–1). Ganancia FC: ΔHR/ΔSpO₂ (lpm/pp).</w:t>
      </w:r>
    </w:p>
    <w:p w14:paraId="3A6F48B7" w14:textId="77777777" w:rsidR="00575477" w:rsidRPr="00F87621" w:rsidRDefault="00575477" w:rsidP="00F87621">
      <w:pPr>
        <w:pStyle w:val="Ttulo2"/>
        <w:spacing w:line="276" w:lineRule="auto"/>
        <w:rPr>
          <w:rFonts w:asciiTheme="minorHAnsi" w:hAnsiTheme="minorHAnsi"/>
        </w:rPr>
      </w:pPr>
    </w:p>
    <w:p w14:paraId="18DAC862" w14:textId="2C6504A0" w:rsidR="003348A7" w:rsidRPr="00F87621" w:rsidRDefault="00000000" w:rsidP="00F87621">
      <w:pPr>
        <w:pStyle w:val="Ttulo2"/>
        <w:spacing w:line="276" w:lineRule="auto"/>
        <w:rPr>
          <w:rFonts w:asciiTheme="minorHAnsi" w:hAnsiTheme="minorHAnsi"/>
        </w:rPr>
      </w:pPr>
      <w:r w:rsidRPr="00F87621">
        <w:rPr>
          <w:rFonts w:asciiTheme="minorHAnsi" w:hAnsiTheme="minorHAnsi"/>
        </w:rPr>
        <w:t xml:space="preserve">3.6 Validación clínica del ARI: análisis </w:t>
      </w:r>
      <w:r w:rsidRPr="00F87621">
        <w:rPr>
          <w:rFonts w:asciiTheme="minorHAnsi" w:hAnsiTheme="minorHAnsi"/>
          <w:i/>
          <w:iCs/>
        </w:rPr>
        <w:t>within-stratum</w:t>
      </w:r>
    </w:p>
    <w:p w14:paraId="0C75BC8F" w14:textId="79ACF8FB" w:rsidR="004213A7" w:rsidRPr="00F87621" w:rsidRDefault="004213A7" w:rsidP="00F87621">
      <w:pPr>
        <w:pStyle w:val="font-claude-response-body"/>
        <w:spacing w:line="276" w:lineRule="auto"/>
        <w:jc w:val="both"/>
        <w:rPr>
          <w:rFonts w:asciiTheme="minorHAnsi" w:hAnsiTheme="minorHAnsi"/>
        </w:rPr>
      </w:pPr>
      <w:r w:rsidRPr="00F87621">
        <w:rPr>
          <w:rFonts w:asciiTheme="minorHAnsi" w:hAnsiTheme="minorHAnsi"/>
        </w:rPr>
        <w:lastRenderedPageBreak/>
        <w:t>El análisis within-stratum evaluó si el ARI discrimina entre noches dentro de cada estrato de severidad definido por ODI3, manteniendo constante la carga hipóxica. La muestra de cada estrato se dividió en subgrupos de ARI alto y bajo según la mediana del estrato (Figura 6).</w:t>
      </w:r>
    </w:p>
    <w:p w14:paraId="1BCF8495" w14:textId="473E83C3" w:rsidR="004213A7" w:rsidRPr="00F87621" w:rsidRDefault="004213A7" w:rsidP="00F87621">
      <w:pPr>
        <w:pStyle w:val="font-claude-response-body"/>
        <w:spacing w:line="276" w:lineRule="auto"/>
        <w:jc w:val="both"/>
        <w:rPr>
          <w:rFonts w:asciiTheme="minorHAnsi" w:hAnsiTheme="minorHAnsi"/>
        </w:rPr>
      </w:pPr>
      <w:r w:rsidRPr="00F87621">
        <w:rPr>
          <w:rFonts w:asciiTheme="minorHAnsi" w:hAnsiTheme="minorHAnsi"/>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031DF850" w14:textId="456D94FC" w:rsidR="004213A7" w:rsidRPr="00F87621" w:rsidRDefault="004213A7" w:rsidP="00F87621">
      <w:pPr>
        <w:pStyle w:val="font-claude-response-body"/>
        <w:spacing w:line="276" w:lineRule="auto"/>
        <w:jc w:val="both"/>
        <w:rPr>
          <w:rFonts w:asciiTheme="minorHAnsi" w:hAnsiTheme="minorHAnsi"/>
        </w:rPr>
      </w:pPr>
      <w:r w:rsidRPr="00F87621">
        <w:rPr>
          <w:rFonts w:asciiTheme="minorHAnsi" w:hAnsiTheme="minorHAnsi"/>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2FCBC0AC" w14:textId="3E5B480C" w:rsidR="004213A7" w:rsidRPr="00F87621" w:rsidRDefault="004213A7" w:rsidP="00F87621">
      <w:pPr>
        <w:pStyle w:val="font-claude-response-body"/>
        <w:spacing w:line="276" w:lineRule="auto"/>
        <w:jc w:val="both"/>
        <w:rPr>
          <w:rFonts w:asciiTheme="minorHAnsi" w:hAnsiTheme="minorHAnsi"/>
        </w:rPr>
      </w:pPr>
      <w:r w:rsidRPr="00F87621">
        <w:rPr>
          <w:rFonts w:asciiTheme="minorHAnsi" w:hAnsiTheme="minorHAnsi"/>
        </w:rPr>
        <w:t>El T90 fue significativamente menor en el subgrupo ARI alto en los estratos Leve (p&lt;0.01) y Moderado (p&lt;0.001), pero no en Grave (ns), con inversión del patrón en Muy grave (p&lt;0.01, Figura 6c) — comportamiento que merece exploración específica en estudios con mayor n.</w:t>
      </w:r>
    </w:p>
    <w:p w14:paraId="36AB5563" w14:textId="77777777" w:rsidR="004213A7" w:rsidRPr="00F87621" w:rsidRDefault="004213A7" w:rsidP="00F87621">
      <w:pPr>
        <w:pStyle w:val="font-claude-response-body"/>
        <w:spacing w:line="276" w:lineRule="auto"/>
        <w:jc w:val="both"/>
        <w:rPr>
          <w:rFonts w:asciiTheme="minorHAnsi" w:hAnsiTheme="minorHAnsi"/>
        </w:rPr>
      </w:pPr>
      <w:r w:rsidRPr="00F87621">
        <w:rPr>
          <w:rFonts w:asciiTheme="minorHAnsi" w:hAnsiTheme="minorHAnsi"/>
        </w:rPr>
        <w:t>En conjunto, estos resultados sugieren que el ARI aporta información clínicamente relevante dentro de cada estrato convencional, particularmente en la franja de severidad moderada donde la discriminación terapéutica es más necesaria.</w:t>
      </w:r>
    </w:p>
    <w:p w14:paraId="48BEB1EF" w14:textId="303A3C9E" w:rsidR="003348A7" w:rsidRPr="00F87621" w:rsidRDefault="00A344A2" w:rsidP="00F87621">
      <w:pPr>
        <w:spacing w:before="200" w:after="60" w:line="276" w:lineRule="auto"/>
        <w:jc w:val="center"/>
        <w:rPr>
          <w:rFonts w:asciiTheme="minorHAnsi" w:hAnsiTheme="minorHAnsi"/>
        </w:rPr>
      </w:pPr>
      <w:r w:rsidRPr="00F87621">
        <w:rPr>
          <w:rFonts w:asciiTheme="minorHAnsi" w:hAnsiTheme="minorHAnsi"/>
          <w:noProof/>
        </w:rPr>
        <w:drawing>
          <wp:inline distT="0" distB="0" distL="0" distR="0" wp14:anchorId="391408A6" wp14:editId="0E8C28E7">
            <wp:extent cx="5960110" cy="1816735"/>
            <wp:effectExtent l="0" t="0" r="0" b="0"/>
            <wp:docPr id="2565994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110" cy="1816735"/>
                    </a:xfrm>
                    <a:prstGeom prst="rect">
                      <a:avLst/>
                    </a:prstGeom>
                    <a:noFill/>
                    <a:ln>
                      <a:noFill/>
                    </a:ln>
                  </pic:spPr>
                </pic:pic>
              </a:graphicData>
            </a:graphic>
          </wp:inline>
        </w:drawing>
      </w:r>
    </w:p>
    <w:p w14:paraId="56BCFA36" w14:textId="4820B519" w:rsidR="003348A7" w:rsidRPr="00F87621" w:rsidRDefault="00000000" w:rsidP="00F87621">
      <w:pPr>
        <w:spacing w:after="200" w:line="276" w:lineRule="auto"/>
        <w:rPr>
          <w:rFonts w:asciiTheme="minorHAnsi" w:hAnsiTheme="minorHAnsi"/>
          <w:sz w:val="18"/>
          <w:szCs w:val="18"/>
        </w:rPr>
      </w:pPr>
      <w:r w:rsidRPr="00F87621">
        <w:rPr>
          <w:rFonts w:asciiTheme="minorHAnsi" w:hAnsiTheme="minorHAnsi"/>
          <w:b/>
          <w:bCs/>
          <w:sz w:val="18"/>
          <w:szCs w:val="18"/>
        </w:rPr>
        <w:t>Figura 6.</w:t>
      </w:r>
      <w:r w:rsidRPr="00F87621">
        <w:rPr>
          <w:rFonts w:asciiTheme="minorHAnsi" w:hAnsiTheme="minorHAnsi"/>
          <w:sz w:val="18"/>
          <w:szCs w:val="18"/>
        </w:rPr>
        <w:t xml:space="preserve"> Análisis within-stratum: variables clínicas por subgrupo de ARI (alto vs. bajo) dentro de cada estrato de severidad. A: ganancia de FC (p&lt;0.001 en todos los estratos). B: fracción de eventos C4+C5 (p&lt;0.001 en Moderado y Grave). C: T90 (p&lt;0.001 en Moderado y Grave). El ODI3 no difiere entre subgrupos (ns), confirmando que el ARI aporta información independiente.</w:t>
      </w:r>
    </w:p>
    <w:p w14:paraId="2AD7C209"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3.7 Relación con la severidad nocturna</w:t>
      </w:r>
    </w:p>
    <w:p w14:paraId="1555BD88" w14:textId="77777777" w:rsidR="00D95392" w:rsidRPr="00F87621" w:rsidRDefault="00D95392" w:rsidP="00F87621">
      <w:pPr>
        <w:pStyle w:val="font-claude-response-body"/>
        <w:spacing w:line="276" w:lineRule="auto"/>
        <w:jc w:val="both"/>
        <w:rPr>
          <w:rFonts w:asciiTheme="minorHAnsi" w:hAnsiTheme="minorHAnsi"/>
        </w:rPr>
      </w:pPr>
      <w:r w:rsidRPr="00F87621">
        <w:rPr>
          <w:rFonts w:asciiTheme="minorHAnsi" w:hAnsiTheme="minorHAnsi"/>
        </w:rPr>
        <w:t>La correlación de Spearman entre el ARI nocturno y el ODI3 fue ρ = −0.245 (p &lt; 10</w:t>
      </w:r>
      <w:r w:rsidRPr="00F87621">
        <w:rPr>
          <w:rFonts w:ascii="Cambria Math" w:hAnsi="Cambria Math" w:cs="Cambria Math"/>
        </w:rPr>
        <w:t>⁻</w:t>
      </w:r>
      <w:r w:rsidRPr="00F87621">
        <w:rPr>
          <w:rFonts w:asciiTheme="minorHAnsi" w:hAnsiTheme="minorHAnsi"/>
        </w:rPr>
        <w:t xml:space="preserve">⁹), estadísticamente significativa pero de magnitud modesta. Este valor negativo indica una leve tendencia a menor respuesta autonómica en noches de mayor carga hipóxica, aunque </w:t>
      </w:r>
      <w:r w:rsidRPr="00F87621">
        <w:rPr>
          <w:rFonts w:asciiTheme="minorHAnsi" w:hAnsiTheme="minorHAnsi"/>
        </w:rPr>
        <w:lastRenderedPageBreak/>
        <w:t>la magnitud del coeficiente confirma que la asociación es débil: el ODI3 explica menos del 7% de la varianza del ARI, consistente con la independencia dimensional descrita en la sección 3.4.</w:t>
      </w:r>
    </w:p>
    <w:p w14:paraId="1554B498" w14:textId="77777777" w:rsidR="00D95392" w:rsidRPr="00F87621" w:rsidRDefault="00D95392" w:rsidP="00F87621">
      <w:pPr>
        <w:pStyle w:val="font-claude-response-body"/>
        <w:spacing w:line="276" w:lineRule="auto"/>
        <w:jc w:val="both"/>
        <w:rPr>
          <w:rFonts w:asciiTheme="minorHAnsi" w:hAnsiTheme="minorHAnsi"/>
        </w:rPr>
      </w:pPr>
      <w:r w:rsidRPr="00F87621">
        <w:rPr>
          <w:rFonts w:asciiTheme="minorHAnsi" w:hAnsiTheme="minorHAnsi"/>
        </w:rPr>
        <w:t>La Tabla 4 desglosa las métricas morfológicas y autonómicas por estrato de severidad. La fracción de morfotipos basales (C1) disminuye monotónicamente al escalar la severidad —de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6DA0E8CF" w14:textId="77777777" w:rsidR="00D95392" w:rsidRPr="00F87621" w:rsidRDefault="00D95392" w:rsidP="00F87621">
      <w:pPr>
        <w:pStyle w:val="font-claude-response-body"/>
        <w:spacing w:line="276" w:lineRule="auto"/>
        <w:jc w:val="both"/>
        <w:rPr>
          <w:rFonts w:asciiTheme="minorHAnsi" w:hAnsiTheme="minorHAnsi"/>
        </w:rPr>
      </w:pPr>
      <w:r w:rsidRPr="00F87621">
        <w:rPr>
          <w:rFonts w:asciiTheme="minorHAnsi" w:hAnsiTheme="minorHAnsi"/>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4CEBE6DD" w14:textId="77777777" w:rsidR="00D95392" w:rsidRPr="00F87621" w:rsidRDefault="00D95392" w:rsidP="00F87621">
      <w:pPr>
        <w:spacing w:before="80" w:after="80" w:line="276" w:lineRule="auto"/>
        <w:rPr>
          <w:rFonts w:asciiTheme="minorHAnsi" w:hAnsiTheme="minorHAnsi"/>
          <w:b/>
          <w:bCs/>
          <w:sz w:val="20"/>
          <w:szCs w:val="20"/>
        </w:rPr>
      </w:pPr>
    </w:p>
    <w:p w14:paraId="329B88D1" w14:textId="0CB66922" w:rsidR="003348A7" w:rsidRPr="00F87621" w:rsidRDefault="00000000" w:rsidP="00F87621">
      <w:pPr>
        <w:spacing w:before="80" w:after="80" w:line="276" w:lineRule="auto"/>
        <w:rPr>
          <w:rFonts w:asciiTheme="minorHAnsi" w:hAnsiTheme="minorHAnsi"/>
        </w:rPr>
      </w:pPr>
      <w:r w:rsidRPr="00F87621">
        <w:rPr>
          <w:rFonts w:asciiTheme="minorHAnsi" w:hAnsiTheme="minorHAnsi"/>
          <w:b/>
          <w:bCs/>
          <w:sz w:val="20"/>
          <w:szCs w:val="20"/>
        </w:rPr>
        <w:t xml:space="preserve">Tabla 4. </w:t>
      </w:r>
      <w:r w:rsidRPr="00F87621">
        <w:rPr>
          <w:rFonts w:asciiTheme="minorHAnsi" w:hAnsiTheme="minorHAnsi"/>
          <w:sz w:val="20"/>
          <w:szCs w:val="20"/>
        </w:rPr>
        <w:t>Métricas morfológicas y autonómicas por estrato de severidad (medianas).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2226"/>
      </w:tblGrid>
      <w:tr w:rsidR="003348A7" w:rsidRPr="00F87621" w14:paraId="3C6F5AD9"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C810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4EF83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94DD1A"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2EBB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4A7B7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b/>
                <w:bCs/>
                <w:color w:val="FFFFFF"/>
                <w:sz w:val="20"/>
                <w:szCs w:val="20"/>
              </w:rPr>
              <w:t>Muy grave (n=54)</w:t>
            </w:r>
          </w:p>
        </w:tc>
      </w:tr>
      <w:tr w:rsidR="003348A7" w:rsidRPr="00F87621" w14:paraId="19FF915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D0FC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2E9B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A93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52C8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A06B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40.9</w:t>
            </w:r>
          </w:p>
        </w:tc>
      </w:tr>
      <w:tr w:rsidR="003348A7" w:rsidRPr="00F87621" w14:paraId="0E7570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8673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B847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49B05"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C02F4"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A395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12.3</w:t>
            </w:r>
          </w:p>
        </w:tc>
      </w:tr>
      <w:tr w:rsidR="003348A7" w:rsidRPr="00F87621" w14:paraId="6251A94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8DDE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68C43"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FC4E6"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8E3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A761A"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43.4%</w:t>
            </w:r>
          </w:p>
        </w:tc>
      </w:tr>
      <w:tr w:rsidR="003348A7" w:rsidRPr="00F87621" w14:paraId="570E87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7B67F"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11EB1"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3768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79149"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D4860"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9.7%</w:t>
            </w:r>
          </w:p>
        </w:tc>
      </w:tr>
      <w:tr w:rsidR="003348A7" w:rsidRPr="00F87621" w14:paraId="76D2181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D6BC"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EE12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B257"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770B"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8A6C2" w14:textId="77777777" w:rsidR="003348A7" w:rsidRPr="00F87621" w:rsidRDefault="00000000" w:rsidP="00F87621">
            <w:pPr>
              <w:spacing w:line="276" w:lineRule="auto"/>
              <w:jc w:val="center"/>
              <w:rPr>
                <w:rFonts w:asciiTheme="minorHAnsi" w:hAnsiTheme="minorHAnsi"/>
              </w:rPr>
            </w:pPr>
            <w:r w:rsidRPr="00F87621">
              <w:rPr>
                <w:rFonts w:asciiTheme="minorHAnsi" w:hAnsiTheme="minorHAnsi"/>
                <w:sz w:val="20"/>
                <w:szCs w:val="20"/>
              </w:rPr>
              <w:t>0.486</w:t>
            </w:r>
          </w:p>
        </w:tc>
      </w:tr>
    </w:tbl>
    <w:p w14:paraId="74F26232" w14:textId="77777777" w:rsidR="003348A7" w:rsidRPr="00F87621" w:rsidRDefault="00000000" w:rsidP="00F87621">
      <w:pPr>
        <w:spacing w:after="200" w:line="276" w:lineRule="auto"/>
        <w:jc w:val="both"/>
        <w:rPr>
          <w:rFonts w:asciiTheme="minorHAnsi" w:hAnsiTheme="minorHAnsi"/>
        </w:rPr>
      </w:pPr>
      <w:r w:rsidRPr="00F87621">
        <w:rPr>
          <w:rFonts w:asciiTheme="minorHAnsi" w:hAnsiTheme="minorHAnsi"/>
          <w:i/>
          <w:iCs/>
          <w:sz w:val="18"/>
          <w:szCs w:val="18"/>
        </w:rPr>
        <w:t>Leve: ODI3&lt;5 ev/h; Moderado: 5–15; Grave: 15–30; Muy grave: ≥30.</w:t>
      </w:r>
    </w:p>
    <w:p w14:paraId="11AE1B84" w14:textId="77777777" w:rsidR="003348A7" w:rsidRPr="00F87621" w:rsidRDefault="00000000" w:rsidP="00F87621">
      <w:pPr>
        <w:pStyle w:val="Ttulo2"/>
        <w:spacing w:line="276" w:lineRule="auto"/>
        <w:rPr>
          <w:rFonts w:asciiTheme="minorHAnsi" w:hAnsiTheme="minorHAnsi"/>
        </w:rPr>
      </w:pPr>
      <w:r w:rsidRPr="00F87621">
        <w:rPr>
          <w:rFonts w:asciiTheme="minorHAnsi" w:hAnsiTheme="minorHAnsi"/>
        </w:rPr>
        <w:t>3.8 Validación interna y estabilidad multi-noche</w:t>
      </w:r>
    </w:p>
    <w:p w14:paraId="19152652" w14:textId="77777777" w:rsidR="009D530F" w:rsidRPr="00F87621" w:rsidRDefault="009D530F" w:rsidP="00F87621">
      <w:pPr>
        <w:pStyle w:val="font-claude-response-body"/>
        <w:spacing w:line="276" w:lineRule="auto"/>
        <w:jc w:val="both"/>
        <w:rPr>
          <w:rFonts w:asciiTheme="minorHAnsi" w:hAnsiTheme="minorHAnsi"/>
        </w:rPr>
      </w:pPr>
      <w:r w:rsidRPr="00F87621">
        <w:rPr>
          <w:rFonts w:asciiTheme="minorHAnsi" w:hAnsiTheme="minorHAnsi"/>
        </w:rPr>
        <w:t>La validación longitudinal se abordó en dos niveles: la estabilidad del índice clásico de severidad y la del índice autonómico propuesto.</w:t>
      </w:r>
    </w:p>
    <w:p w14:paraId="5B6BD3E1" w14:textId="77777777" w:rsidR="009D530F" w:rsidRPr="00F87621" w:rsidRDefault="009D530F" w:rsidP="00F87621">
      <w:pPr>
        <w:pStyle w:val="font-claude-response-body"/>
        <w:spacing w:line="276" w:lineRule="auto"/>
        <w:jc w:val="both"/>
        <w:rPr>
          <w:rFonts w:asciiTheme="minorHAnsi" w:hAnsiTheme="minorHAnsi"/>
        </w:rPr>
      </w:pPr>
      <w:r w:rsidRPr="00F87621">
        <w:rPr>
          <w:rFonts w:asciiTheme="minorHAnsi" w:hAnsiTheme="minorHAnsi"/>
        </w:rPr>
        <w:t xml:space="preserve">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w:t>
      </w:r>
      <w:r w:rsidRPr="00F87621">
        <w:rPr>
          <w:rFonts w:asciiTheme="minorHAnsi" w:hAnsiTheme="minorHAnsi"/>
        </w:rPr>
        <w:lastRenderedPageBreak/>
        <w:t>partir de 3 noches, lo que confirma que el marco de estratificación empleado en este trabajo es robusto para el rango de cobertura disponible en el corpus (mediana: 47 noches por paciente).</w:t>
      </w:r>
    </w:p>
    <w:p w14:paraId="4F8D417C" w14:textId="77777777" w:rsidR="009D530F" w:rsidRPr="00F87621" w:rsidRDefault="009D530F" w:rsidP="00F87621">
      <w:pPr>
        <w:spacing w:line="276" w:lineRule="auto"/>
        <w:rPr>
          <w:rFonts w:asciiTheme="minorHAnsi" w:hAnsiTheme="minorHAnsi"/>
        </w:rPr>
      </w:pPr>
    </w:p>
    <w:p w14:paraId="5B3553F5" w14:textId="14425395" w:rsidR="003348A7" w:rsidRPr="00F87621" w:rsidRDefault="009913D9" w:rsidP="00F87621">
      <w:pPr>
        <w:spacing w:before="200" w:after="60" w:line="276" w:lineRule="auto"/>
        <w:jc w:val="center"/>
        <w:rPr>
          <w:rFonts w:asciiTheme="minorHAnsi" w:hAnsiTheme="minorHAnsi"/>
        </w:rPr>
      </w:pPr>
      <w:r w:rsidRPr="00F87621">
        <w:rPr>
          <w:rFonts w:asciiTheme="minorHAnsi" w:hAnsiTheme="minorHAnsi"/>
          <w:noProof/>
        </w:rPr>
        <w:drawing>
          <wp:inline distT="0" distB="0" distL="0" distR="0" wp14:anchorId="75746962" wp14:editId="30C84A98">
            <wp:extent cx="5960110" cy="2126615"/>
            <wp:effectExtent l="0" t="0" r="0" b="0"/>
            <wp:docPr id="204041105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1051" name="Imagen 2040411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110" cy="2126615"/>
                    </a:xfrm>
                    <a:prstGeom prst="rect">
                      <a:avLst/>
                    </a:prstGeom>
                  </pic:spPr>
                </pic:pic>
              </a:graphicData>
            </a:graphic>
          </wp:inline>
        </w:drawing>
      </w:r>
    </w:p>
    <w:p w14:paraId="27E2B7D8" w14:textId="435A3CEE" w:rsidR="003348A7" w:rsidRPr="00F87621" w:rsidRDefault="00000000" w:rsidP="00F87621">
      <w:pPr>
        <w:spacing w:after="200" w:line="276" w:lineRule="auto"/>
        <w:jc w:val="both"/>
        <w:rPr>
          <w:rFonts w:asciiTheme="minorHAnsi" w:hAnsiTheme="minorHAnsi"/>
          <w:sz w:val="18"/>
          <w:szCs w:val="18"/>
        </w:rPr>
      </w:pPr>
      <w:r w:rsidRPr="00F87621">
        <w:rPr>
          <w:rFonts w:asciiTheme="minorHAnsi" w:hAnsiTheme="minorHAnsi"/>
          <w:b/>
          <w:bCs/>
          <w:sz w:val="18"/>
          <w:szCs w:val="18"/>
        </w:rPr>
        <w:t>Figura 7.</w:t>
      </w:r>
      <w:r w:rsidRPr="00F87621">
        <w:rPr>
          <w:rFonts w:asciiTheme="minorHAnsi" w:hAnsiTheme="minorHAnsi"/>
          <w:sz w:val="18"/>
          <w:szCs w:val="18"/>
        </w:rPr>
        <w:t xml:space="preserve"> Estabilización multi-noche. A: MAE vs. número de noches (bootstrap, 300 iteraciones, pacientes con ≥14 noches); la banda indica IQR. A partir de 5 noches el MAE cae por debajo de 2 ev/h. B: ICC(1,1) vs. N noches, desde 0.70 (1 noche) hasta 0.99 (14 noches). La concordancia categórica en la clasificación de severidad alcanza el 100% a partir de 3 noches.</w:t>
      </w:r>
    </w:p>
    <w:p w14:paraId="4C965001" w14:textId="77777777" w:rsidR="009D530F" w:rsidRPr="00F87621" w:rsidRDefault="009D530F" w:rsidP="00F87621">
      <w:pPr>
        <w:spacing w:line="276" w:lineRule="auto"/>
        <w:rPr>
          <w:rFonts w:asciiTheme="minorHAnsi" w:hAnsiTheme="minorHAnsi"/>
        </w:rPr>
      </w:pPr>
    </w:p>
    <w:p w14:paraId="25E6ECA3" w14:textId="77777777" w:rsidR="009D530F" w:rsidRPr="00F87621" w:rsidRDefault="009D530F" w:rsidP="00F87621">
      <w:pPr>
        <w:spacing w:line="276" w:lineRule="auto"/>
        <w:rPr>
          <w:rFonts w:asciiTheme="minorHAnsi" w:hAnsiTheme="minorHAnsi"/>
        </w:rPr>
      </w:pPr>
    </w:p>
    <w:p w14:paraId="28C58259" w14:textId="2D1616B1" w:rsidR="009D530F" w:rsidRPr="00F87621" w:rsidRDefault="009D530F" w:rsidP="00F87621">
      <w:pPr>
        <w:spacing w:line="276" w:lineRule="auto"/>
        <w:jc w:val="both"/>
        <w:rPr>
          <w:rFonts w:asciiTheme="minorHAnsi" w:hAnsiTheme="minorHAnsi"/>
        </w:rPr>
      </w:pPr>
      <w:r w:rsidRPr="00F87621">
        <w:rPr>
          <w:rFonts w:asciiTheme="minorHAnsi" w:hAnsiTheme="minorHAnsi"/>
        </w:rPr>
        <w:t>Para el ARI, la misma simulación bootstrap mostró un patrón de estabilización aún más rápido: el MAE paciente-nivel parte de 0.036 unidades con una sola noche —ya por debajo del umbral operacional de 0.05— y se estabiliza en aproximadamente 0.006 unidades a partir de la novena noche (Figura 8A). Este resultado indica que el ARI captura un rasgo fisiológico del paciente con baja variabilidad nocturna, no un artefacto dependiente del registro individual. El análisis de Bland–Altman [13] confirmó ausencia de sesgo sistemático entre la estimación de 1 noche y la media multi-noche (sesgo = +0.002), con límites de concordancia de ±0.118 unidades ARI y distribución de residuos homogénea a lo largo del rango de valores (Figura 8B).</w:t>
      </w:r>
    </w:p>
    <w:p w14:paraId="6E8EA440" w14:textId="77777777" w:rsidR="009D530F" w:rsidRPr="00F87621" w:rsidRDefault="009D530F" w:rsidP="00F87621">
      <w:pPr>
        <w:spacing w:line="276" w:lineRule="auto"/>
        <w:jc w:val="both"/>
        <w:rPr>
          <w:rFonts w:asciiTheme="minorHAnsi" w:hAnsiTheme="minorHAnsi"/>
        </w:rPr>
      </w:pPr>
    </w:p>
    <w:p w14:paraId="3FB3AB24" w14:textId="3D88161F" w:rsidR="003348A7" w:rsidRPr="00F87621" w:rsidRDefault="009913D9" w:rsidP="00F87621">
      <w:pPr>
        <w:spacing w:line="276" w:lineRule="auto"/>
        <w:rPr>
          <w:rFonts w:asciiTheme="minorHAnsi" w:hAnsiTheme="minorHAnsi"/>
        </w:rPr>
      </w:pPr>
      <w:r w:rsidRPr="00F87621">
        <w:rPr>
          <w:rFonts w:asciiTheme="minorHAnsi" w:hAnsiTheme="minorHAnsi"/>
          <w:noProof/>
        </w:rPr>
        <w:drawing>
          <wp:inline distT="0" distB="0" distL="0" distR="0" wp14:anchorId="5F8FDC3B" wp14:editId="05EB592A">
            <wp:extent cx="5960110" cy="2120265"/>
            <wp:effectExtent l="0" t="0" r="0" b="635"/>
            <wp:docPr id="3145241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4110" name="Imagen 314524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0110" cy="2120265"/>
                    </a:xfrm>
                    <a:prstGeom prst="rect">
                      <a:avLst/>
                    </a:prstGeom>
                  </pic:spPr>
                </pic:pic>
              </a:graphicData>
            </a:graphic>
          </wp:inline>
        </w:drawing>
      </w:r>
    </w:p>
    <w:p w14:paraId="4B9E2B3E" w14:textId="77777777" w:rsidR="009913D9" w:rsidRPr="00F87621" w:rsidRDefault="009913D9" w:rsidP="00F87621">
      <w:pPr>
        <w:spacing w:line="276" w:lineRule="auto"/>
        <w:rPr>
          <w:rFonts w:asciiTheme="minorHAnsi" w:hAnsiTheme="minorHAnsi"/>
        </w:rPr>
      </w:pPr>
    </w:p>
    <w:p w14:paraId="74EE1E25" w14:textId="5BCA26BD" w:rsidR="009913D9" w:rsidRPr="00F87621" w:rsidRDefault="009913D9" w:rsidP="00F87621">
      <w:pPr>
        <w:spacing w:line="276" w:lineRule="auto"/>
        <w:rPr>
          <w:rFonts w:asciiTheme="minorHAnsi" w:hAnsiTheme="minorHAnsi"/>
          <w:sz w:val="18"/>
          <w:szCs w:val="18"/>
        </w:rPr>
      </w:pPr>
      <w:r w:rsidRPr="00F87621">
        <w:rPr>
          <w:rStyle w:val="Fuerte"/>
          <w:rFonts w:asciiTheme="minorHAnsi" w:hAnsiTheme="minorHAnsi"/>
          <w:sz w:val="18"/>
          <w:szCs w:val="18"/>
        </w:rPr>
        <w:t xml:space="preserve">Figura 8. </w:t>
      </w:r>
      <w:r w:rsidRPr="00F87621">
        <w:rPr>
          <w:rStyle w:val="Fuerte"/>
          <w:rFonts w:asciiTheme="minorHAnsi" w:hAnsiTheme="minorHAnsi"/>
          <w:b w:val="0"/>
          <w:bCs w:val="0"/>
          <w:sz w:val="18"/>
          <w:szCs w:val="18"/>
        </w:rPr>
        <w:t>Validación interna del ARI multi-noche.</w:t>
      </w:r>
      <w:r w:rsidRPr="00F87621">
        <w:rPr>
          <w:rFonts w:asciiTheme="minorHAnsi" w:hAnsiTheme="minorHAnsi"/>
          <w:sz w:val="18"/>
          <w:szCs w:val="18"/>
        </w:rPr>
        <w:t xml:space="preserve"> A: MAE del ARI paciente-nivel vs. número de noches promediadas (bootstrap, 500 iteraciones); la banda indica IC 90%. El MAE cae por debajo del umbral 0.05 a partir de 2 noches y se estabiliza en ~0.006 con 9 o más noches, confirmando que el ARI es un rasgo del paciente y no ruido nocturno. B: Análisis de Bland–Altman comparando la estimación de 1 noche con la media multi-noche por paciente; sesgo = +0.002 (ausencia de sesgo sistemático), límites de concordancia ±1.96σ = [−0.115, +0.118].</w:t>
      </w:r>
    </w:p>
    <w:p w14:paraId="4152069E" w14:textId="77777777" w:rsidR="009D530F" w:rsidRPr="00F87621" w:rsidRDefault="009D530F" w:rsidP="00F87621">
      <w:pPr>
        <w:spacing w:line="276" w:lineRule="auto"/>
        <w:rPr>
          <w:rFonts w:asciiTheme="minorHAnsi" w:hAnsiTheme="minorHAnsi"/>
        </w:rPr>
      </w:pPr>
    </w:p>
    <w:p w14:paraId="3608AD85" w14:textId="2F5FEFB1" w:rsidR="009D530F" w:rsidRPr="00F87621" w:rsidRDefault="009D530F" w:rsidP="00F87621">
      <w:pPr>
        <w:spacing w:line="276" w:lineRule="auto"/>
        <w:jc w:val="both"/>
        <w:rPr>
          <w:rFonts w:asciiTheme="minorHAnsi" w:hAnsiTheme="minorHAnsi"/>
        </w:rPr>
      </w:pPr>
      <w:r w:rsidRPr="00F87621">
        <w:rPr>
          <w:rFonts w:asciiTheme="minorHAnsi" w:hAnsiTheme="minorHAnsi"/>
        </w:rPr>
        <w:t xml:space="preserve">En conjunto, ambos análisis sostienen que los índices calculados a partir de una sola noche de monitoreo ambulatorio con el dispositivo </w:t>
      </w:r>
      <w:r w:rsidRPr="005D0CBF">
        <w:rPr>
          <w:rFonts w:asciiTheme="minorHAnsi" w:hAnsiTheme="minorHAnsi"/>
          <w:b/>
          <w:bCs/>
        </w:rPr>
        <w:t>SOMNI 6000</w:t>
      </w:r>
      <w:r w:rsidRPr="00F87621">
        <w:rPr>
          <w:rFonts w:asciiTheme="minorHAnsi" w:hAnsiTheme="minorHAnsi"/>
        </w:rPr>
        <w:t xml:space="preserve"> son representativos del estado crónico del paciente, y que la estructura morfológica y autonómica identificada en el corpus no es producto de inestabilidad nocturna.</w:t>
      </w:r>
    </w:p>
    <w:p w14:paraId="6AB95D77" w14:textId="71400D7A" w:rsidR="003348A7" w:rsidRPr="00F87621" w:rsidRDefault="00000000" w:rsidP="00F87621">
      <w:pPr>
        <w:pStyle w:val="Ttulo1"/>
        <w:spacing w:line="276" w:lineRule="auto"/>
        <w:rPr>
          <w:rFonts w:asciiTheme="minorHAnsi" w:hAnsiTheme="minorHAnsi"/>
        </w:rPr>
      </w:pPr>
      <w:r w:rsidRPr="00F87621">
        <w:rPr>
          <w:rFonts w:asciiTheme="minorHAnsi" w:hAnsiTheme="minorHAnsi"/>
        </w:rPr>
        <w:t>4. Discusión</w:t>
      </w:r>
    </w:p>
    <w:p w14:paraId="644392D1" w14:textId="5F8C4014"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 xml:space="preserve">Los resultados demuestran que los EDOs presentan una organización morfológica estructurada, describible con tres componentes principales (83.9% de varianza), que el K-means captura en cinco fenotipos reproducibles. El hallazgo más relevante desde el punto de vista morfológico es la distinción entre C3 y C4: ambos presentan nadires similares (−7.9 vs. −8.6 pp) pero difieren radicalmente en la posición temporal del nadir (24% vs. 72% de la duración del evento). Esta distinción —invisible para cualquier índice basado en amplitud o duración— puede tener implicancias fisiopatológicas en términos de latencia del arousal respiratorio y respuesta cardiovascular. Este enfoque </w:t>
      </w:r>
      <w:r w:rsidR="00CF3B15">
        <w:rPr>
          <w:rFonts w:asciiTheme="minorHAnsi" w:hAnsiTheme="minorHAnsi"/>
        </w:rPr>
        <w:t>basado en datos</w:t>
      </w:r>
      <w:r w:rsidRPr="00F87621">
        <w:rPr>
          <w:rFonts w:asciiTheme="minorHAnsi" w:hAnsiTheme="minorHAnsi"/>
        </w:rPr>
        <w:t xml:space="preserve"> es coherente con el marco de endotipos fisiopatológicos propuesto por Eckert et al.</w:t>
      </w:r>
      <w:r w:rsidRPr="00F87621">
        <w:rPr>
          <w:rFonts w:asciiTheme="minorHAnsi" w:hAnsiTheme="minorHAnsi"/>
          <w:sz w:val="18"/>
          <w:szCs w:val="18"/>
          <w:vertAlign w:val="superscript"/>
        </w:rPr>
        <w:t>[10]</w:t>
      </w:r>
      <w:r w:rsidRPr="00F87621">
        <w:rPr>
          <w:rFonts w:asciiTheme="minorHAnsi" w:hAnsiTheme="minorHAnsi"/>
        </w:rPr>
        <w:t>, quienes identificaron mecanismos causales del SAOS</w:t>
      </w:r>
      <w:r w:rsidR="00CF3B15">
        <w:rPr>
          <w:rFonts w:asciiTheme="minorHAnsi" w:hAnsiTheme="minorHAnsi"/>
        </w:rPr>
        <w:t xml:space="preserve">, </w:t>
      </w:r>
      <w:r w:rsidRPr="00F87621">
        <w:rPr>
          <w:rFonts w:asciiTheme="minorHAnsi" w:hAnsiTheme="minorHAnsi"/>
        </w:rPr>
        <w:t>umbral de arousal, bucle de ganancia, tono muscular y sensibilidad del generador de patrón</w:t>
      </w:r>
      <w:r w:rsidR="00CF3B15">
        <w:rPr>
          <w:rFonts w:asciiTheme="minorHAnsi" w:hAnsiTheme="minorHAnsi"/>
        </w:rPr>
        <w:t>,</w:t>
      </w:r>
      <w:r w:rsidRPr="00F87621">
        <w:rPr>
          <w:rFonts w:asciiTheme="minorHAnsi" w:hAnsiTheme="minorHAnsi"/>
        </w:rPr>
        <w:t xml:space="preserve"> que determinan la expresión clínica del síndrome; la morfología evento-nivel constituye una extensión de ese marco al dominio temporal de la señal de SpO₂.</w:t>
      </w:r>
    </w:p>
    <w:p w14:paraId="0F644E0B" w14:textId="2DE4EBBD"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 xml:space="preserve">La propuesta del ARI como eje autonómico ortogonal a la severidad hipóxica (ρ=0.034) constituye la contribución conceptual central. El análisis </w:t>
      </w:r>
      <w:r w:rsidRPr="00CF3B15">
        <w:rPr>
          <w:rFonts w:asciiTheme="minorHAnsi" w:hAnsiTheme="minorHAnsi"/>
          <w:i/>
          <w:iCs/>
        </w:rPr>
        <w:t>within-stratum</w:t>
      </w:r>
      <w:r w:rsidR="00CF3B15">
        <w:rPr>
          <w:rFonts w:asciiTheme="minorHAnsi" w:hAnsiTheme="minorHAnsi"/>
        </w:rPr>
        <w:t xml:space="preserve">, </w:t>
      </w:r>
      <w:r w:rsidRPr="00F87621">
        <w:rPr>
          <w:rFonts w:asciiTheme="minorHAnsi" w:hAnsiTheme="minorHAnsi"/>
        </w:rPr>
        <w:t>donde el ARI diferencia pacientes con ODI3 equivalente en términos de ganancia de FC, fracción de eventos severos y T90</w:t>
      </w:r>
      <w:r w:rsidR="00CF3B15">
        <w:rPr>
          <w:rFonts w:asciiTheme="minorHAnsi" w:hAnsiTheme="minorHAnsi"/>
        </w:rPr>
        <w:t>,</w:t>
      </w:r>
      <w:r w:rsidRPr="00F87621">
        <w:rPr>
          <w:rFonts w:asciiTheme="minorHAnsi" w:hAnsiTheme="minorHAnsi"/>
        </w:rPr>
        <w:t xml:space="preserve"> sugiere la existencia de dos dimensiones fisiopatológicas independientes en el SAOS: la </w:t>
      </w:r>
      <w:r w:rsidRPr="00F87621">
        <w:rPr>
          <w:rFonts w:asciiTheme="minorHAnsi" w:hAnsiTheme="minorHAnsi"/>
          <w:i/>
          <w:iCs/>
        </w:rPr>
        <w:t>carga hipóxica</w:t>
      </w:r>
      <w:r w:rsidRPr="00F87621">
        <w:rPr>
          <w:rFonts w:asciiTheme="minorHAnsi" w:hAnsiTheme="minorHAnsi"/>
        </w:rPr>
        <w:t xml:space="preserve"> (ODI, T90, hypoxic burden) y la </w:t>
      </w:r>
      <w:r w:rsidRPr="00F87621">
        <w:rPr>
          <w:rFonts w:asciiTheme="minorHAnsi" w:hAnsiTheme="minorHAnsi"/>
          <w:i/>
          <w:iCs/>
        </w:rPr>
        <w:t>eficiencia de la respuesta autonómica</w:t>
      </w:r>
      <w:r w:rsidRPr="00F87621">
        <w:rPr>
          <w:rFonts w:asciiTheme="minorHAnsi" w:hAnsiTheme="minorHAnsi"/>
        </w:rPr>
        <w:t xml:space="preserve"> (ARI). Esta bidimensionalidad resuena con modelos previos del SAOS como sistema estímulo–respuesta</w:t>
      </w:r>
      <w:r w:rsidRPr="00F87621">
        <w:rPr>
          <w:rFonts w:asciiTheme="minorHAnsi" w:hAnsiTheme="minorHAnsi"/>
          <w:sz w:val="18"/>
          <w:szCs w:val="18"/>
          <w:vertAlign w:val="superscript"/>
        </w:rPr>
        <w:t>[14,15]</w:t>
      </w:r>
      <w:r w:rsidRPr="00F87621">
        <w:rPr>
          <w:rFonts w:asciiTheme="minorHAnsi" w:hAnsiTheme="minorHAnsi"/>
        </w:rPr>
        <w:t xml:space="preserve"> y podría ser relevante para una estratificación de riesgo más granular, en línea con la evidencia emergente sobre subtipos clínicos del SAOS con implicancias pronósticas distintas</w:t>
      </w:r>
      <w:r w:rsidRPr="00F87621">
        <w:rPr>
          <w:rFonts w:asciiTheme="minorHAnsi" w:hAnsiTheme="minorHAnsi"/>
          <w:sz w:val="18"/>
          <w:szCs w:val="18"/>
          <w:vertAlign w:val="superscript"/>
        </w:rPr>
        <w:t>[11,18,21]</w:t>
      </w:r>
      <w:r w:rsidRPr="00F87621">
        <w:rPr>
          <w:rFonts w:asciiTheme="minorHAnsi" w:hAnsiTheme="minorHAnsi"/>
        </w:rPr>
        <w:t>.</w:t>
      </w:r>
    </w:p>
    <w:p w14:paraId="1612C7FA" w14:textId="77777777"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 xml:space="preserve">El fenómeno del </w:t>
      </w:r>
      <w:r w:rsidRPr="00F87621">
        <w:rPr>
          <w:rFonts w:asciiTheme="minorHAnsi" w:hAnsiTheme="minorHAnsi"/>
          <w:i/>
          <w:iCs/>
        </w:rPr>
        <w:t>silencio autonómico</w:t>
      </w:r>
      <w:r w:rsidRPr="00F87621">
        <w:rPr>
          <w:rFonts w:asciiTheme="minorHAnsi" w:hAnsiTheme="minorHAnsi"/>
        </w:rPr>
        <w:t xml:space="preserve"> en C5 —ganancia de FC de 0.04 lpm/pp ante nadires de −15.3 pp— merece atención específica. Una respuesta autonómica prácticamente nula ante hipoxia severa podría reflejar adaptación crónica del sistema nervioso autónomo, deterioro de la sensibilidad de quimiorreceptores, o fatiga del arco reflejo del arousal</w:t>
      </w:r>
      <w:r w:rsidRPr="00F87621">
        <w:rPr>
          <w:rFonts w:asciiTheme="minorHAnsi" w:hAnsiTheme="minorHAnsi"/>
          <w:sz w:val="18"/>
          <w:szCs w:val="18"/>
          <w:vertAlign w:val="superscript"/>
        </w:rPr>
        <w:t>[15,16]</w:t>
      </w:r>
      <w:r w:rsidRPr="00F87621">
        <w:rPr>
          <w:rFonts w:asciiTheme="minorHAnsi" w:hAnsiTheme="minorHAnsi"/>
        </w:rPr>
        <w:t>. La activación tónica del quimiorreflejo en el SAOS es un mecanismo bien caracterizado</w:t>
      </w:r>
      <w:r w:rsidRPr="00F87621">
        <w:rPr>
          <w:rFonts w:asciiTheme="minorHAnsi" w:hAnsiTheme="minorHAnsi"/>
          <w:sz w:val="18"/>
          <w:szCs w:val="18"/>
          <w:vertAlign w:val="superscript"/>
        </w:rPr>
        <w:t>[17,20]</w:t>
      </w:r>
      <w:r w:rsidRPr="00F87621">
        <w:rPr>
          <w:rFonts w:asciiTheme="minorHAnsi" w:hAnsiTheme="minorHAnsi"/>
        </w:rPr>
        <w:t xml:space="preserve"> que </w:t>
      </w:r>
      <w:r w:rsidRPr="00F87621">
        <w:rPr>
          <w:rFonts w:asciiTheme="minorHAnsi" w:hAnsiTheme="minorHAnsi"/>
        </w:rPr>
        <w:lastRenderedPageBreak/>
        <w:t>puede derivar en daño vascular acumulado</w:t>
      </w:r>
      <w:r w:rsidRPr="00F87621">
        <w:rPr>
          <w:rFonts w:asciiTheme="minorHAnsi" w:hAnsiTheme="minorHAnsi"/>
          <w:sz w:val="18"/>
          <w:szCs w:val="18"/>
          <w:vertAlign w:val="superscript"/>
        </w:rPr>
        <w:t>[19]</w:t>
      </w:r>
      <w:r w:rsidRPr="00F87621">
        <w:rPr>
          <w:rFonts w:asciiTheme="minorHAnsi" w:hAnsiTheme="minorHAnsi"/>
        </w:rPr>
        <w:t>; sin embargo, su expresión como silencio autonómico sugiere un espectro de respuestas modulado por la acumulación crónica de la exposición hipóxica. Cualquiera de estos mecanismos tendría implicancias diferentes para el riesgo cardiovascular y la respuesta terapéutica.</w:t>
      </w:r>
    </w:p>
    <w:p w14:paraId="698E7C56" w14:textId="77777777" w:rsidR="003348A7" w:rsidRPr="00F87621" w:rsidRDefault="00000000" w:rsidP="00F87621">
      <w:pPr>
        <w:spacing w:after="160" w:line="276" w:lineRule="auto"/>
        <w:jc w:val="both"/>
        <w:rPr>
          <w:rFonts w:asciiTheme="minorHAnsi" w:hAnsiTheme="minorHAnsi"/>
        </w:rPr>
      </w:pPr>
      <w:r w:rsidRPr="00F87621">
        <w:rPr>
          <w:rFonts w:asciiTheme="minorHAnsi" w:hAnsiTheme="minorHAnsi"/>
        </w:rPr>
        <w:t>La validación multi-noche confirma la utilidad del monitoreo domiciliario longitudinal. Los CV de ODI3 de 27–33% son comparables a los reportados para el AHI en estudios de variabilidad inter-noche</w:t>
      </w:r>
      <w:r w:rsidRPr="00F87621">
        <w:rPr>
          <w:rFonts w:asciiTheme="minorHAnsi" w:hAnsiTheme="minorHAnsi"/>
          <w:sz w:val="18"/>
          <w:szCs w:val="18"/>
          <w:vertAlign w:val="superscript"/>
        </w:rPr>
        <w:t>[8,9]</w:t>
      </w:r>
      <w:r w:rsidRPr="00F87621">
        <w:rPr>
          <w:rFonts w:asciiTheme="minorHAnsi" w:hAnsiTheme="minorHAnsi"/>
        </w:rPr>
        <w:t>, confirmando que la variabilidad observada es biológica y no artefactual. La convergencia de las métricas a partir de 3–5 noches provee una guía práctica para el diseño de protocolos ambulatorios, consistente con las recomendaciones de las guías clínicas para el uso diagnóstico de monitores portátiles</w:t>
      </w:r>
      <w:r w:rsidRPr="00F87621">
        <w:rPr>
          <w:rFonts w:asciiTheme="minorHAnsi" w:hAnsiTheme="minorHAnsi"/>
          <w:sz w:val="18"/>
          <w:szCs w:val="18"/>
          <w:vertAlign w:val="superscript"/>
        </w:rPr>
        <w:t>[7,22]</w:t>
      </w:r>
      <w:r w:rsidRPr="00F87621">
        <w:rPr>
          <w:rFonts w:asciiTheme="minorHAnsi" w:hAnsiTheme="minorHAnsi"/>
        </w:rPr>
        <w:t>.</w:t>
      </w:r>
    </w:p>
    <w:p w14:paraId="1A44EA21" w14:textId="77777777" w:rsidR="003348A7" w:rsidRPr="00F87621" w:rsidRDefault="00000000" w:rsidP="00F87621">
      <w:pPr>
        <w:spacing w:after="200" w:line="276" w:lineRule="auto"/>
        <w:jc w:val="both"/>
        <w:rPr>
          <w:rFonts w:asciiTheme="minorHAnsi" w:hAnsiTheme="minorHAnsi"/>
        </w:rPr>
      </w:pPr>
      <w:r w:rsidRPr="00F87621">
        <w:rPr>
          <w:rFonts w:asciiTheme="minorHAnsi" w:hAnsiTheme="minorHAnsi"/>
        </w:rP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w:t>
      </w:r>
    </w:p>
    <w:p w14:paraId="60D6A344" w14:textId="77777777" w:rsidR="003348A7" w:rsidRPr="00F87621" w:rsidRDefault="00000000" w:rsidP="00F87621">
      <w:pPr>
        <w:pStyle w:val="Ttulo1"/>
        <w:spacing w:line="276" w:lineRule="auto"/>
        <w:rPr>
          <w:rFonts w:asciiTheme="minorHAnsi" w:hAnsiTheme="minorHAnsi"/>
        </w:rPr>
      </w:pPr>
      <w:r w:rsidRPr="00F87621">
        <w:rPr>
          <w:rFonts w:asciiTheme="minorHAnsi" w:hAnsiTheme="minorHAnsi"/>
        </w:rPr>
        <w:t>5. Conclusión</w:t>
      </w:r>
    </w:p>
    <w:p w14:paraId="25425926" w14:textId="77777777" w:rsidR="003348A7" w:rsidRPr="00F87621" w:rsidRDefault="00000000" w:rsidP="00F87621">
      <w:pPr>
        <w:spacing w:after="140" w:line="276" w:lineRule="auto"/>
        <w:jc w:val="both"/>
        <w:rPr>
          <w:rFonts w:asciiTheme="minorHAnsi" w:hAnsiTheme="minorHAnsi"/>
        </w:rPr>
      </w:pPr>
      <w:r w:rsidRPr="00F87621">
        <w:rPr>
          <w:rFonts w:asciiTheme="minorHAnsi" w:hAnsiTheme="minorHAnsi"/>
        </w:rPr>
        <w:t>Los EDOs no son morfológicamente homogéneos. El análisis data-driven de 85.277 eventos identificó cinco fenotipos reproducibles (C1–C5) que difieren en profundidad, dinámica temporal y respuesta autonómica. Esta heterogeneidad es invisible para los índices convencionales.</w:t>
      </w:r>
    </w:p>
    <w:p w14:paraId="7D62BA6D" w14:textId="77777777" w:rsidR="003348A7" w:rsidRPr="00F87621" w:rsidRDefault="00000000" w:rsidP="00F87621">
      <w:pPr>
        <w:spacing w:after="140" w:line="276" w:lineRule="auto"/>
        <w:jc w:val="both"/>
        <w:rPr>
          <w:rFonts w:asciiTheme="minorHAnsi" w:hAnsiTheme="minorHAnsi"/>
        </w:rPr>
      </w:pPr>
      <w:r w:rsidRPr="00F87621">
        <w:rPr>
          <w:rFonts w:asciiTheme="minorHAnsi" w:hAnsiTheme="minorHAnsi"/>
        </w:rPr>
        <w:t>El ARI emerge como dimensión fisiológica ortogonal a la severidad hipóxica (ρ=0.034) que diferencia pacientes con cargas hipóxicas equivalentes. El silencio autonómico en C5 plantea una hipótesis clínica relevante sobre el agotamiento reflejo en el SAOS crónico.</w:t>
      </w:r>
    </w:p>
    <w:p w14:paraId="3F633996" w14:textId="07BC0942" w:rsidR="003348A7" w:rsidRPr="00F87621" w:rsidRDefault="00000000" w:rsidP="00F87621">
      <w:pPr>
        <w:spacing w:after="200" w:line="276" w:lineRule="auto"/>
        <w:jc w:val="both"/>
        <w:rPr>
          <w:rFonts w:asciiTheme="minorHAnsi" w:hAnsiTheme="minorHAnsi"/>
        </w:rPr>
      </w:pPr>
      <w:r w:rsidRPr="00F87621">
        <w:rPr>
          <w:rFonts w:asciiTheme="minorHAnsi" w:hAnsiTheme="minorHAnsi"/>
        </w:rPr>
        <w:t>La validación multi-noche confirma que 3–5 noches de monitoreo domiciliario son suficientes para estimaciones estables de los fenotipos propuestos. Estos hallazgos justifican incorporar información morfológica y autonómica como complemento —no sustituto— de los índices clásicos.</w:t>
      </w:r>
      <w:r w:rsidRPr="00F87621">
        <w:rPr>
          <w:rFonts w:asciiTheme="minorHAnsi" w:hAnsiTheme="minorHAnsi"/>
        </w:rPr>
        <w:br w:type="page"/>
      </w:r>
    </w:p>
    <w:p w14:paraId="5CA50728" w14:textId="77777777" w:rsidR="003348A7" w:rsidRPr="00F87621" w:rsidRDefault="00000000" w:rsidP="00F87621">
      <w:pPr>
        <w:pStyle w:val="Ttulo1"/>
        <w:spacing w:line="276" w:lineRule="auto"/>
        <w:rPr>
          <w:rFonts w:asciiTheme="minorHAnsi" w:hAnsiTheme="minorHAnsi"/>
        </w:rPr>
      </w:pPr>
      <w:r w:rsidRPr="00F87621">
        <w:rPr>
          <w:rFonts w:asciiTheme="minorHAnsi" w:hAnsiTheme="minorHAnsi"/>
        </w:rPr>
        <w:lastRenderedPageBreak/>
        <w:t>Referencias</w:t>
      </w:r>
    </w:p>
    <w:p w14:paraId="4210774D" w14:textId="77777777" w:rsidR="003348A7" w:rsidRPr="003876AA" w:rsidRDefault="00000000" w:rsidP="00F87621">
      <w:pPr>
        <w:spacing w:before="60" w:after="60" w:line="276" w:lineRule="auto"/>
        <w:ind w:left="720" w:hanging="720"/>
        <w:rPr>
          <w:rFonts w:asciiTheme="minorHAnsi" w:hAnsiTheme="minorHAnsi"/>
        </w:rPr>
      </w:pPr>
      <w:r w:rsidRPr="00F87621">
        <w:rPr>
          <w:rFonts w:asciiTheme="minorHAnsi" w:hAnsiTheme="minorHAnsi"/>
          <w:b/>
          <w:bCs/>
          <w:sz w:val="20"/>
          <w:szCs w:val="20"/>
        </w:rPr>
        <w:t>1.</w:t>
      </w:r>
      <w:r w:rsidRPr="00F9483E">
        <w:rPr>
          <w:rFonts w:asciiTheme="minorHAnsi" w:hAnsiTheme="minorHAnsi"/>
          <w:b/>
          <w:bCs/>
          <w:color w:val="00B050"/>
          <w:sz w:val="20"/>
          <w:szCs w:val="20"/>
        </w:rPr>
        <w:t xml:space="preserve"> </w:t>
      </w:r>
      <w:r w:rsidRPr="003876AA">
        <w:rPr>
          <w:rFonts w:asciiTheme="minorHAnsi" w:hAnsiTheme="minorHAnsi"/>
          <w:sz w:val="20"/>
          <w:szCs w:val="20"/>
        </w:rPr>
        <w:t>Young T, Palta M, Dempsey J, Skatrud J, Weber S, Badr S. The occurrence of sleep-disordered breathing among middle-aged adults. N Engl J Med. 1993;328(17):1230–1235. https://doi.org/10.1056/NEJM199304293281704</w:t>
      </w:r>
    </w:p>
    <w:p w14:paraId="0CBDA2C9"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2. </w:t>
      </w:r>
      <w:r w:rsidRPr="003876AA">
        <w:rPr>
          <w:rFonts w:asciiTheme="minorHAnsi" w:hAnsiTheme="minorHAnsi"/>
          <w:sz w:val="20"/>
          <w:szCs w:val="20"/>
        </w:rPr>
        <w:t>Peppard PE, Young T, Barnet JH, Palta M, Hagen EW, Hla KM. Increased prevalence of sleep-disordered breathing in adults. Am J Epidemiol. 2013;177(9):1006–1014. https://doi.org/10.1093/aje/kws342</w:t>
      </w:r>
    </w:p>
    <w:p w14:paraId="621ABC61"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3. </w:t>
      </w:r>
      <w:r w:rsidRPr="003876AA">
        <w:rPr>
          <w:rFonts w:asciiTheme="minorHAnsi" w:hAnsiTheme="minorHAnsi"/>
          <w:sz w:val="20"/>
          <w:szCs w:val="20"/>
        </w:rPr>
        <w:t>Punjabi NM, Caffo BS, Goodwin JL, et al. Sleep-disordered breathing and mortality: a prospective cohort study. PLoS Med. 2009;6(8):e1000132. https://doi.org/10.1371/journal.pmed.1000132</w:t>
      </w:r>
    </w:p>
    <w:p w14:paraId="36B9BA64"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4. </w:t>
      </w:r>
      <w:r w:rsidRPr="003876AA">
        <w:rPr>
          <w:rFonts w:asciiTheme="minorHAnsi" w:hAnsiTheme="minorHAnsi"/>
          <w:sz w:val="20"/>
          <w:szCs w:val="20"/>
        </w:rPr>
        <w:t>Berry RB, Brooks R, Gamaldo CE, et al. AASM Manual for the Scoring of Sleep and Associated Events. Version 2.6. Darien, IL: American Academy of Sleep Medicine; 2020.</w:t>
      </w:r>
    </w:p>
    <w:p w14:paraId="0E30706A"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5. </w:t>
      </w:r>
      <w:r w:rsidRPr="003876AA">
        <w:rPr>
          <w:rFonts w:asciiTheme="minorHAnsi" w:hAnsiTheme="minorHAnsi"/>
          <w:sz w:val="20"/>
          <w:szCs w:val="20"/>
        </w:rPr>
        <w:t>Azarbarzin A, Sands SA, Stone KL, et al. The hypoxic burden of sleep apnoea predicts cardiovascular disease-related mortality: the Osteoporotic Fractures in Men Study and the Sleep Heart Health Study. Eur Heart J. 2019;40(14):1149–1157. https://doi.org/10.1093/eurheartj/ehy624</w:t>
      </w:r>
    </w:p>
    <w:p w14:paraId="73553D10"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6. </w:t>
      </w:r>
      <w:r w:rsidRPr="003876AA">
        <w:rPr>
          <w:rFonts w:asciiTheme="minorHAnsi" w:hAnsiTheme="minorHAnsi"/>
          <w:sz w:val="20"/>
          <w:szCs w:val="20"/>
        </w:rPr>
        <w:t>Marin JM, Carrizo SJ, Vicente E, Agusti AG. Long-term cardiovascular outcomes in men with obstructive sleep apnoea-hypopnoea with or without treatment with CPAP. Lancet. 2005;365(9464):1046–1053. https://doi.org/10.1016/S0140-6736(05)71141-7</w:t>
      </w:r>
    </w:p>
    <w:p w14:paraId="2814959C"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7. </w:t>
      </w:r>
      <w:r w:rsidRPr="003876AA">
        <w:rPr>
          <w:rFonts w:asciiTheme="minorHAnsi" w:hAnsiTheme="minorHAnsi"/>
          <w:sz w:val="20"/>
          <w:szCs w:val="20"/>
        </w:rPr>
        <w:t>Collop NA, Anderson WM, Boehlecke B, et al. Clinical guidelines for the use of unattended portable monitors in the diagnosis of obstructive sleep apnea in adult patients. J Clin Sleep Med. 2007;3(7):737–747. https://doi.org/10.5664/jcsm.26925</w:t>
      </w:r>
    </w:p>
    <w:p w14:paraId="38BC52D2"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8. </w:t>
      </w:r>
      <w:r w:rsidRPr="003876AA">
        <w:rPr>
          <w:rFonts w:asciiTheme="minorHAnsi" w:hAnsiTheme="minorHAnsi"/>
          <w:sz w:val="20"/>
          <w:szCs w:val="20"/>
        </w:rPr>
        <w:t>Bittencourt LR, Suchecki D, Tufik S, et al. The variability of the apnoea-hypopnoea index. J Sleep Res. 2001;10(3):245–251. https://doi.org/10.1046/j.1365-2869.2001.00255.x</w:t>
      </w:r>
    </w:p>
    <w:p w14:paraId="2BC21144"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9. </w:t>
      </w:r>
      <w:r w:rsidRPr="003876AA">
        <w:rPr>
          <w:rFonts w:asciiTheme="minorHAnsi" w:hAnsiTheme="minorHAnsi"/>
          <w:sz w:val="20"/>
          <w:szCs w:val="20"/>
        </w:rPr>
        <w:t>Levendowski DJ, Zack N, Rao S, et al. Assessment of the test-retest reliability of laboratory polysomnography. Sleep Breath. 2009;13(2):163–167. https://doi.org/10.1007/s11325-008-0214-6</w:t>
      </w:r>
    </w:p>
    <w:p w14:paraId="4F1D2269"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10. </w:t>
      </w:r>
      <w:r w:rsidRPr="003876AA">
        <w:rPr>
          <w:rFonts w:asciiTheme="minorHAnsi" w:hAnsiTheme="minorHAnsi"/>
          <w:sz w:val="20"/>
          <w:szCs w:val="20"/>
        </w:rPr>
        <w:t>Eckert DJ, White DP, Jordan AS, Malhotra A, Wellman A. Defining Phenotypic Causes of Obstructive Sleep Apnea: Identification of Novel Therapeutic Targets. Am J Respir Crit Care Med. 2013;188(8):996–1004. https://doi.org/10.1164/rccm.201303-0448OC</w:t>
      </w:r>
    </w:p>
    <w:p w14:paraId="2BBE05A4"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11. </w:t>
      </w:r>
      <w:r w:rsidRPr="003876AA">
        <w:rPr>
          <w:rFonts w:asciiTheme="minorHAnsi" w:hAnsiTheme="minorHAnsi"/>
          <w:sz w:val="20"/>
          <w:szCs w:val="20"/>
        </w:rPr>
        <w:t>Ye L, Pien GW, Ratcliffe SJ, et al. The different clinical faces of obstructive sleep apnoea: a cluster analysis. Eur Respir J. 2014;44(6):1600–1607. https://doi.org/10.1183/09031936.00032314</w:t>
      </w:r>
    </w:p>
    <w:p w14:paraId="33EB22D8"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12. </w:t>
      </w:r>
      <w:r w:rsidRPr="003876AA">
        <w:rPr>
          <w:rFonts w:asciiTheme="minorHAnsi" w:hAnsiTheme="minorHAnsi"/>
          <w:sz w:val="20"/>
          <w:szCs w:val="20"/>
        </w:rPr>
        <w:t>Shrout PE, Fleiss JL. Intraclass correlations: uses in assessing rater reliability. Psychol Bull. 1979;86(2):420–428. https://doi.org/10.1037/0033-2909.86.2.420</w:t>
      </w:r>
    </w:p>
    <w:p w14:paraId="5EA49022"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13. </w:t>
      </w:r>
      <w:r w:rsidRPr="003876AA">
        <w:rPr>
          <w:rFonts w:asciiTheme="minorHAnsi" w:hAnsiTheme="minorHAnsi"/>
          <w:sz w:val="20"/>
          <w:szCs w:val="20"/>
        </w:rPr>
        <w:t>Bland JM, Altman DG. Statistical methods for assessing agreement between two methods of clinical measurement. Lancet. 1986;1(8476):307–310. https://doi.org/10.1016/S0140-6736(86)90837-8</w:t>
      </w:r>
    </w:p>
    <w:p w14:paraId="6A3A561F"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14. </w:t>
      </w:r>
      <w:r w:rsidRPr="003876AA">
        <w:rPr>
          <w:rFonts w:asciiTheme="minorHAnsi" w:hAnsiTheme="minorHAnsi"/>
          <w:sz w:val="20"/>
          <w:szCs w:val="20"/>
        </w:rPr>
        <w:t>Somers VK, Dyken ME, Mark AL, Abboud FM. Sympathetic-nerve activity during sleep in normal subjects. N Engl J Med. 1993;328(5):303–307. https://doi.org/10.1056/NEJM199302043280502</w:t>
      </w:r>
    </w:p>
    <w:p w14:paraId="5B06C112"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15. </w:t>
      </w:r>
      <w:r w:rsidRPr="003876AA">
        <w:rPr>
          <w:rFonts w:asciiTheme="minorHAnsi" w:hAnsiTheme="minorHAnsi"/>
          <w:sz w:val="20"/>
          <w:szCs w:val="20"/>
        </w:rPr>
        <w:t>Dempsey JA, Veasey SC, Morgan BJ, O'Donnell CP. Pathophysiology of sleep apnea. Physiol Rev. 2010;90(1):47–112. https://doi.org/10.1152/physrev.00043.2008</w:t>
      </w:r>
    </w:p>
    <w:p w14:paraId="2D29B944"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16. </w:t>
      </w:r>
      <w:r w:rsidRPr="003876AA">
        <w:rPr>
          <w:rFonts w:asciiTheme="minorHAnsi" w:hAnsiTheme="minorHAnsi"/>
          <w:sz w:val="20"/>
          <w:szCs w:val="20"/>
        </w:rPr>
        <w:t>Shamsuzzaman AS, Gersh BJ, Somers VK. Obstructive sleep apnea: implications for cardiac and vascular disease. JAMA. 2003;290(14):1906–1914. https://doi.org/10.1001/jama.290.14.1906</w:t>
      </w:r>
    </w:p>
    <w:p w14:paraId="34B5247E"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17. </w:t>
      </w:r>
      <w:r w:rsidRPr="003876AA">
        <w:rPr>
          <w:rFonts w:asciiTheme="minorHAnsi" w:hAnsiTheme="minorHAnsi"/>
          <w:sz w:val="20"/>
          <w:szCs w:val="20"/>
        </w:rPr>
        <w:t>Narkiewicz K, Somers VK. Sympathetic nerve activity in obstructive sleep apnoea. Acta Physiol Scand. 2003;177(3):385–390. https://doi.org/10.1046/j.1365-201X.2003.01091.x</w:t>
      </w:r>
    </w:p>
    <w:p w14:paraId="2445D7DB"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18. </w:t>
      </w:r>
      <w:r w:rsidRPr="003876AA">
        <w:rPr>
          <w:rFonts w:asciiTheme="minorHAnsi" w:hAnsiTheme="minorHAnsi"/>
          <w:sz w:val="20"/>
          <w:szCs w:val="20"/>
        </w:rPr>
        <w:t>Zinchuk AV, Yaggi HK. Phenotypic Subtypes of OSA: A Challenge and Opportunity for Precision Medicine. Chest. 2020;157(2):403–420. https://doi.org/10.1016/j.chest.2019.09.002</w:t>
      </w:r>
    </w:p>
    <w:p w14:paraId="2676BD7C"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19. </w:t>
      </w:r>
      <w:r w:rsidRPr="003876AA">
        <w:rPr>
          <w:rFonts w:asciiTheme="minorHAnsi" w:hAnsiTheme="minorHAnsi"/>
          <w:sz w:val="20"/>
          <w:szCs w:val="20"/>
        </w:rPr>
        <w:t>Kohler M, Stradling JR. Mechanisms of vascular damage in obstructive sleep apnea. Nat Rev Cardiol. 2010;7(12):677–685. https://doi.org/10.1038/nrcardio.2010.145</w:t>
      </w:r>
    </w:p>
    <w:p w14:paraId="344FF81E"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lastRenderedPageBreak/>
        <w:t xml:space="preserve">20. </w:t>
      </w:r>
      <w:r w:rsidRPr="003876AA">
        <w:rPr>
          <w:rFonts w:asciiTheme="minorHAnsi" w:hAnsiTheme="minorHAnsi"/>
          <w:sz w:val="20"/>
          <w:szCs w:val="20"/>
        </w:rPr>
        <w:t>Narkiewicz K, Somers VK, Montano N, et al. Contribution of tonic chemoreflex activation to sympathetic activity and blood pressure in patients with obstructive sleep apnea. Circulation. 1998;97(10):943–945. https://doi.org/10.1161/01.cir.97.10.943</w:t>
      </w:r>
    </w:p>
    <w:p w14:paraId="7AEE67F9"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21. </w:t>
      </w:r>
      <w:r w:rsidRPr="003876AA">
        <w:rPr>
          <w:rFonts w:asciiTheme="minorHAnsi" w:hAnsiTheme="minorHAnsi"/>
          <w:sz w:val="20"/>
          <w:szCs w:val="20"/>
        </w:rPr>
        <w:t>Bailly S, Destors M, Grillet Y, et al. Obstructive Sleep Apnea: A Cluster Analysis at Time of Diagnosis. PLoS One. 2016;11(6):e0157318. https://doi.org/10.1371/journal.pone.0157318</w:t>
      </w:r>
    </w:p>
    <w:p w14:paraId="7AEE67FA" w14:textId="77777777" w:rsidR="003348A7" w:rsidRPr="003876AA" w:rsidRDefault="00000000" w:rsidP="00F87621">
      <w:pPr>
        <w:spacing w:before="60" w:after="60" w:line="276" w:lineRule="auto"/>
        <w:ind w:left="720" w:hanging="720"/>
        <w:rPr>
          <w:rFonts w:asciiTheme="minorHAnsi" w:hAnsiTheme="minorHAnsi"/>
        </w:rPr>
      </w:pPr>
      <w:r w:rsidRPr="003876AA">
        <w:rPr>
          <w:rFonts w:asciiTheme="minorHAnsi" w:hAnsiTheme="minorHAnsi"/>
          <w:b/>
          <w:bCs/>
          <w:sz w:val="20"/>
          <w:szCs w:val="20"/>
        </w:rPr>
        <w:t xml:space="preserve">22. </w:t>
      </w:r>
      <w:r w:rsidRPr="003876AA">
        <w:rPr>
          <w:rFonts w:asciiTheme="minorHAnsi" w:hAnsiTheme="minorHAnsi"/>
          <w:sz w:val="20"/>
          <w:szCs w:val="20"/>
        </w:rPr>
        <w:t>Kapur VK, Auckley DH, Chowdhuri S, et al. Clinical Practice Guideline for Diagnostic Testing for Adult Obstructive Sleep Apnea: An American Academy of Sleep Medicine Clinical Practice Guideline. J Clin Sleep Med. 2017;13(3):479–504. https://doi.org/10.5664/jcsm.6506</w:t>
      </w:r>
    </w:p>
    <w:p w14:paraId="7AEE67F8" w14:textId="77777777" w:rsidR="003348A7" w:rsidRPr="00F87621" w:rsidRDefault="003348A7" w:rsidP="00F87621">
      <w:pPr>
        <w:spacing w:before="400" w:line="276" w:lineRule="auto"/>
        <w:rPr>
          <w:rFonts w:asciiTheme="minorHAnsi" w:hAnsiTheme="minorHAnsi"/>
        </w:rPr>
      </w:pPr>
    </w:p>
    <w:sectPr w:rsidR="003348A7" w:rsidRPr="00F87621">
      <w:headerReference w:type="default" r:id="rId15"/>
      <w:footerReference w:type="default" r:id="rId1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8E39" w14:textId="77777777" w:rsidR="00AC4E81" w:rsidRDefault="00AC4E81">
      <w:r>
        <w:separator/>
      </w:r>
    </w:p>
  </w:endnote>
  <w:endnote w:type="continuationSeparator" w:id="0">
    <w:p w14:paraId="2A8087D4" w14:textId="77777777" w:rsidR="00AC4E81" w:rsidRDefault="00AC4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05CD" w14:textId="77777777" w:rsidR="003348A7" w:rsidRDefault="00000000">
    <w:pPr>
      <w:pBdr>
        <w:top w:val="single" w:sz="4" w:space="4" w:color="2E75B6"/>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4757C">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4757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98E20" w14:textId="77777777" w:rsidR="00AC4E81" w:rsidRDefault="00AC4E81">
      <w:r>
        <w:separator/>
      </w:r>
    </w:p>
  </w:footnote>
  <w:footnote w:type="continuationSeparator" w:id="0">
    <w:p w14:paraId="3DD61406" w14:textId="77777777" w:rsidR="00AC4E81" w:rsidRDefault="00AC4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2764" w14:textId="7FDB134C" w:rsidR="003348A7" w:rsidRDefault="00293FFC">
    <w:pPr>
      <w:pBdr>
        <w:bottom w:val="single" w:sz="4" w:space="4" w:color="2E75B6"/>
      </w:pBdr>
      <w:jc w:val="right"/>
    </w:pPr>
    <w:r>
      <w:rPr>
        <w:color w:val="888888"/>
        <w:sz w:val="18"/>
        <w:szCs w:val="18"/>
      </w:rPr>
      <w:t>Delia D</w:t>
    </w:r>
    <w:r w:rsidR="00000000">
      <w:rPr>
        <w:color w:val="888888"/>
        <w:sz w:val="18"/>
        <w:szCs w:val="18"/>
      </w:rPr>
      <w:t xml:space="preserve">. | </w:t>
    </w:r>
    <w:r>
      <w:rPr>
        <w:color w:val="888888"/>
        <w:sz w:val="18"/>
        <w:szCs w:val="18"/>
      </w:rPr>
      <w:t>SOMNI 6000 -</w:t>
    </w:r>
    <w:r w:rsidR="00000000">
      <w:rPr>
        <w:color w:val="888888"/>
        <w:sz w:val="18"/>
        <w:szCs w:val="18"/>
      </w:rPr>
      <w:t xml:space="preserve"> 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A27B1"/>
    <w:multiLevelType w:val="hybridMultilevel"/>
    <w:tmpl w:val="FA4244E4"/>
    <w:lvl w:ilvl="0" w:tplc="609A671E">
      <w:start w:val="1"/>
      <w:numFmt w:val="bullet"/>
      <w:lvlText w:val="•"/>
      <w:lvlJc w:val="left"/>
      <w:pPr>
        <w:ind w:left="720" w:hanging="360"/>
      </w:pPr>
    </w:lvl>
    <w:lvl w:ilvl="1" w:tplc="596887C2">
      <w:numFmt w:val="decimal"/>
      <w:lvlText w:val=""/>
      <w:lvlJc w:val="left"/>
    </w:lvl>
    <w:lvl w:ilvl="2" w:tplc="9B4E7FB2">
      <w:numFmt w:val="decimal"/>
      <w:lvlText w:val=""/>
      <w:lvlJc w:val="left"/>
    </w:lvl>
    <w:lvl w:ilvl="3" w:tplc="3236A9C6">
      <w:numFmt w:val="decimal"/>
      <w:lvlText w:val=""/>
      <w:lvlJc w:val="left"/>
    </w:lvl>
    <w:lvl w:ilvl="4" w:tplc="978AF6D4">
      <w:numFmt w:val="decimal"/>
      <w:lvlText w:val=""/>
      <w:lvlJc w:val="left"/>
    </w:lvl>
    <w:lvl w:ilvl="5" w:tplc="CAB044C8">
      <w:numFmt w:val="decimal"/>
      <w:lvlText w:val=""/>
      <w:lvlJc w:val="left"/>
    </w:lvl>
    <w:lvl w:ilvl="6" w:tplc="FD0E9D64">
      <w:numFmt w:val="decimal"/>
      <w:lvlText w:val=""/>
      <w:lvlJc w:val="left"/>
    </w:lvl>
    <w:lvl w:ilvl="7" w:tplc="88FCA0F2">
      <w:numFmt w:val="decimal"/>
      <w:lvlText w:val=""/>
      <w:lvlJc w:val="left"/>
    </w:lvl>
    <w:lvl w:ilvl="8" w:tplc="F8A2E8FA">
      <w:numFmt w:val="decimal"/>
      <w:lvlText w:val=""/>
      <w:lvlJc w:val="left"/>
    </w:lvl>
  </w:abstractNum>
  <w:abstractNum w:abstractNumId="1" w15:restartNumberingAfterBreak="0">
    <w:nsid w:val="22C34F64"/>
    <w:multiLevelType w:val="multilevel"/>
    <w:tmpl w:val="C5F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365CD"/>
    <w:multiLevelType w:val="hybridMultilevel"/>
    <w:tmpl w:val="CF323FF8"/>
    <w:lvl w:ilvl="0" w:tplc="698213B6">
      <w:start w:val="1"/>
      <w:numFmt w:val="bullet"/>
      <w:lvlText w:val="●"/>
      <w:lvlJc w:val="left"/>
      <w:pPr>
        <w:ind w:left="720" w:hanging="360"/>
      </w:pPr>
    </w:lvl>
    <w:lvl w:ilvl="1" w:tplc="8F66D008">
      <w:start w:val="1"/>
      <w:numFmt w:val="bullet"/>
      <w:lvlText w:val="○"/>
      <w:lvlJc w:val="left"/>
      <w:pPr>
        <w:ind w:left="1440" w:hanging="360"/>
      </w:pPr>
    </w:lvl>
    <w:lvl w:ilvl="2" w:tplc="624C8E94">
      <w:start w:val="1"/>
      <w:numFmt w:val="bullet"/>
      <w:lvlText w:val="■"/>
      <w:lvlJc w:val="left"/>
      <w:pPr>
        <w:ind w:left="2160" w:hanging="360"/>
      </w:pPr>
    </w:lvl>
    <w:lvl w:ilvl="3" w:tplc="6978BA7A">
      <w:start w:val="1"/>
      <w:numFmt w:val="bullet"/>
      <w:lvlText w:val="●"/>
      <w:lvlJc w:val="left"/>
      <w:pPr>
        <w:ind w:left="2880" w:hanging="360"/>
      </w:pPr>
    </w:lvl>
    <w:lvl w:ilvl="4" w:tplc="7BD4E64C">
      <w:start w:val="1"/>
      <w:numFmt w:val="bullet"/>
      <w:lvlText w:val="○"/>
      <w:lvlJc w:val="left"/>
      <w:pPr>
        <w:ind w:left="3600" w:hanging="360"/>
      </w:pPr>
    </w:lvl>
    <w:lvl w:ilvl="5" w:tplc="6CCADB4E">
      <w:start w:val="1"/>
      <w:numFmt w:val="bullet"/>
      <w:lvlText w:val="■"/>
      <w:lvlJc w:val="left"/>
      <w:pPr>
        <w:ind w:left="4320" w:hanging="360"/>
      </w:pPr>
    </w:lvl>
    <w:lvl w:ilvl="6" w:tplc="BCE4EB98">
      <w:start w:val="1"/>
      <w:numFmt w:val="bullet"/>
      <w:lvlText w:val="●"/>
      <w:lvlJc w:val="left"/>
      <w:pPr>
        <w:ind w:left="5040" w:hanging="360"/>
      </w:pPr>
    </w:lvl>
    <w:lvl w:ilvl="7" w:tplc="C5CCBB86">
      <w:start w:val="1"/>
      <w:numFmt w:val="bullet"/>
      <w:lvlText w:val="●"/>
      <w:lvlJc w:val="left"/>
      <w:pPr>
        <w:ind w:left="5760" w:hanging="360"/>
      </w:pPr>
    </w:lvl>
    <w:lvl w:ilvl="8" w:tplc="B58E83FE">
      <w:start w:val="1"/>
      <w:numFmt w:val="bullet"/>
      <w:lvlText w:val="●"/>
      <w:lvlJc w:val="left"/>
      <w:pPr>
        <w:ind w:left="6480" w:hanging="360"/>
      </w:pPr>
    </w:lvl>
  </w:abstractNum>
  <w:abstractNum w:abstractNumId="3" w15:restartNumberingAfterBreak="0">
    <w:nsid w:val="3CD75440"/>
    <w:multiLevelType w:val="hybridMultilevel"/>
    <w:tmpl w:val="B65C6856"/>
    <w:lvl w:ilvl="0" w:tplc="3C1A2FAA">
      <w:start w:val="1"/>
      <w:numFmt w:val="decimal"/>
      <w:lvlText w:val="%1."/>
      <w:lvlJc w:val="left"/>
      <w:pPr>
        <w:ind w:left="720" w:hanging="360"/>
      </w:pPr>
    </w:lvl>
    <w:lvl w:ilvl="1" w:tplc="D456A7F4">
      <w:numFmt w:val="decimal"/>
      <w:lvlText w:val=""/>
      <w:lvlJc w:val="left"/>
    </w:lvl>
    <w:lvl w:ilvl="2" w:tplc="D6DC70AE">
      <w:numFmt w:val="decimal"/>
      <w:lvlText w:val=""/>
      <w:lvlJc w:val="left"/>
    </w:lvl>
    <w:lvl w:ilvl="3" w:tplc="2EBA060E">
      <w:numFmt w:val="decimal"/>
      <w:lvlText w:val=""/>
      <w:lvlJc w:val="left"/>
    </w:lvl>
    <w:lvl w:ilvl="4" w:tplc="C3B815F2">
      <w:numFmt w:val="decimal"/>
      <w:lvlText w:val=""/>
      <w:lvlJc w:val="left"/>
    </w:lvl>
    <w:lvl w:ilvl="5" w:tplc="4E9E71C8">
      <w:numFmt w:val="decimal"/>
      <w:lvlText w:val=""/>
      <w:lvlJc w:val="left"/>
    </w:lvl>
    <w:lvl w:ilvl="6" w:tplc="63DA2FCC">
      <w:numFmt w:val="decimal"/>
      <w:lvlText w:val=""/>
      <w:lvlJc w:val="left"/>
    </w:lvl>
    <w:lvl w:ilvl="7" w:tplc="24F8C534">
      <w:numFmt w:val="decimal"/>
      <w:lvlText w:val=""/>
      <w:lvlJc w:val="left"/>
    </w:lvl>
    <w:lvl w:ilvl="8" w:tplc="086C5542">
      <w:numFmt w:val="decimal"/>
      <w:lvlText w:val=""/>
      <w:lvlJc w:val="left"/>
    </w:lvl>
  </w:abstractNum>
  <w:num w:numId="1" w16cid:durableId="1684816035">
    <w:abstractNumId w:val="2"/>
    <w:lvlOverride w:ilvl="0">
      <w:startOverride w:val="1"/>
    </w:lvlOverride>
  </w:num>
  <w:num w:numId="2" w16cid:durableId="951016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8A7"/>
    <w:rsid w:val="000068AA"/>
    <w:rsid w:val="000A36AE"/>
    <w:rsid w:val="000D3422"/>
    <w:rsid w:val="00156E0B"/>
    <w:rsid w:val="00157EFC"/>
    <w:rsid w:val="00163C95"/>
    <w:rsid w:val="0017448D"/>
    <w:rsid w:val="001C7A0E"/>
    <w:rsid w:val="00240FF8"/>
    <w:rsid w:val="0024757C"/>
    <w:rsid w:val="0026518F"/>
    <w:rsid w:val="00267B31"/>
    <w:rsid w:val="00293FFC"/>
    <w:rsid w:val="002B0D71"/>
    <w:rsid w:val="00310188"/>
    <w:rsid w:val="003348A7"/>
    <w:rsid w:val="003876AA"/>
    <w:rsid w:val="004213A7"/>
    <w:rsid w:val="004E2473"/>
    <w:rsid w:val="00535BED"/>
    <w:rsid w:val="00575477"/>
    <w:rsid w:val="005B4FF6"/>
    <w:rsid w:val="005C6569"/>
    <w:rsid w:val="005D0CBF"/>
    <w:rsid w:val="005D4A23"/>
    <w:rsid w:val="005D7B8D"/>
    <w:rsid w:val="006C284E"/>
    <w:rsid w:val="006C78A7"/>
    <w:rsid w:val="007610E9"/>
    <w:rsid w:val="00770685"/>
    <w:rsid w:val="00780E7E"/>
    <w:rsid w:val="0078573E"/>
    <w:rsid w:val="008C35D7"/>
    <w:rsid w:val="00951FDF"/>
    <w:rsid w:val="00956DF9"/>
    <w:rsid w:val="009913D9"/>
    <w:rsid w:val="009D530F"/>
    <w:rsid w:val="00A344A2"/>
    <w:rsid w:val="00A56117"/>
    <w:rsid w:val="00A803D7"/>
    <w:rsid w:val="00A81B88"/>
    <w:rsid w:val="00A945A7"/>
    <w:rsid w:val="00AC4E81"/>
    <w:rsid w:val="00AD0FED"/>
    <w:rsid w:val="00B10391"/>
    <w:rsid w:val="00B14607"/>
    <w:rsid w:val="00B50F42"/>
    <w:rsid w:val="00B94685"/>
    <w:rsid w:val="00C31345"/>
    <w:rsid w:val="00C860EB"/>
    <w:rsid w:val="00C922E4"/>
    <w:rsid w:val="00CB0F78"/>
    <w:rsid w:val="00CB6907"/>
    <w:rsid w:val="00CF099D"/>
    <w:rsid w:val="00CF3B15"/>
    <w:rsid w:val="00D144B7"/>
    <w:rsid w:val="00D55B8C"/>
    <w:rsid w:val="00D95392"/>
    <w:rsid w:val="00E850F6"/>
    <w:rsid w:val="00EA6FB9"/>
    <w:rsid w:val="00EB5B5A"/>
    <w:rsid w:val="00F7084A"/>
    <w:rsid w:val="00F87621"/>
    <w:rsid w:val="00F9483E"/>
    <w:rsid w:val="00FB066D"/>
    <w:rsid w:val="00FB58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D2F2"/>
  <w15:docId w15:val="{C6C3BC96-6120-5F44-AF2F-FC45AB21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i/>
      <w:i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0068AA"/>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0068AA"/>
    <w:rPr>
      <w:b/>
      <w:bCs/>
    </w:rPr>
  </w:style>
  <w:style w:type="character" w:styleId="nfasis">
    <w:name w:val="Emphasis"/>
    <w:basedOn w:val="Fuentedeprrafopredeter"/>
    <w:uiPriority w:val="20"/>
    <w:qFormat/>
    <w:rsid w:val="000068AA"/>
    <w:rPr>
      <w:i/>
      <w:iCs/>
    </w:rPr>
  </w:style>
  <w:style w:type="paragraph" w:styleId="NormalWeb">
    <w:name w:val="Normal (Web)"/>
    <w:basedOn w:val="Normal"/>
    <w:uiPriority w:val="99"/>
    <w:semiHidden/>
    <w:unhideWhenUsed/>
    <w:rsid w:val="005B4FF6"/>
    <w:pPr>
      <w:spacing w:before="100" w:beforeAutospacing="1" w:after="100" w:afterAutospacing="1"/>
    </w:pPr>
    <w:rPr>
      <w:rFonts w:ascii="Times New Roman" w:eastAsia="Times New Roman" w:hAnsi="Times New Roman" w:cs="Times New Roman"/>
    </w:rPr>
  </w:style>
  <w:style w:type="paragraph" w:styleId="Encabezado">
    <w:name w:val="header"/>
    <w:basedOn w:val="Normal"/>
    <w:link w:val="EncabezadoCar"/>
    <w:uiPriority w:val="99"/>
    <w:unhideWhenUsed/>
    <w:rsid w:val="00293FFC"/>
    <w:pPr>
      <w:tabs>
        <w:tab w:val="center" w:pos="4419"/>
        <w:tab w:val="right" w:pos="8838"/>
      </w:tabs>
    </w:pPr>
  </w:style>
  <w:style w:type="character" w:customStyle="1" w:styleId="EncabezadoCar">
    <w:name w:val="Encabezado Car"/>
    <w:basedOn w:val="Fuentedeprrafopredeter"/>
    <w:link w:val="Encabezado"/>
    <w:uiPriority w:val="99"/>
    <w:rsid w:val="00293FFC"/>
  </w:style>
  <w:style w:type="paragraph" w:styleId="Piedepgina">
    <w:name w:val="footer"/>
    <w:basedOn w:val="Normal"/>
    <w:link w:val="PiedepginaCar"/>
    <w:uiPriority w:val="99"/>
    <w:unhideWhenUsed/>
    <w:rsid w:val="00293FFC"/>
    <w:pPr>
      <w:tabs>
        <w:tab w:val="center" w:pos="4419"/>
        <w:tab w:val="right" w:pos="8838"/>
      </w:tabs>
    </w:pPr>
  </w:style>
  <w:style w:type="character" w:customStyle="1" w:styleId="PiedepginaCar">
    <w:name w:val="Pie de página Car"/>
    <w:basedOn w:val="Fuentedeprrafopredeter"/>
    <w:link w:val="Piedepgina"/>
    <w:uiPriority w:val="99"/>
    <w:rsid w:val="00293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5036</Words>
  <Characters>29365</Characters>
  <Application>Microsoft Office Word</Application>
  <DocSecurity>0</DocSecurity>
  <Lines>599</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27</cp:revision>
  <dcterms:created xsi:type="dcterms:W3CDTF">2026-05-19T13:25:00Z</dcterms:created>
  <dcterms:modified xsi:type="dcterms:W3CDTF">2026-05-19T21:41:00Z</dcterms:modified>
</cp:coreProperties>
</file>