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3816" w14:textId="77777777" w:rsidR="0087185D" w:rsidRDefault="00000000">
      <w:pPr>
        <w:spacing w:after="60"/>
        <w:jc w:val="center"/>
      </w:pPr>
      <w:r>
        <w:rPr>
          <w:b/>
          <w:bCs/>
          <w:color w:val="1F3864"/>
          <w:sz w:val="40"/>
          <w:szCs w:val="40"/>
        </w:rPr>
        <w:t>Índice de Respuesta Autonómica (ARI)</w:t>
      </w:r>
    </w:p>
    <w:p w14:paraId="665A6EEB" w14:textId="77777777" w:rsidR="0087185D" w:rsidRDefault="00000000">
      <w:pPr>
        <w:spacing w:after="60"/>
        <w:jc w:val="center"/>
      </w:pPr>
      <w:r>
        <w:rPr>
          <w:i/>
          <w:iCs/>
          <w:color w:val="2E75B6"/>
          <w:sz w:val="24"/>
          <w:szCs w:val="24"/>
        </w:rPr>
        <w:t>Informe técnico para especialista en trastornos respiratorios del sueño</w:t>
      </w:r>
    </w:p>
    <w:p w14:paraId="365E1FCA" w14:textId="77777777" w:rsidR="0087185D" w:rsidRDefault="00000000">
      <w:pPr>
        <w:spacing w:after="60"/>
        <w:jc w:val="center"/>
      </w:pPr>
      <w:r>
        <w:rPr>
          <w:color w:val="666666"/>
          <w:sz w:val="20"/>
          <w:szCs w:val="20"/>
        </w:rPr>
        <w:t>Proyecto PAC_v2 · Corpus: 12 pacientes · 553 noches · 85 277 EDOs · Mayo 2026</w:t>
      </w:r>
    </w:p>
    <w:p w14:paraId="53F649DF" w14:textId="77777777" w:rsidR="0087185D" w:rsidRDefault="0087185D">
      <w:pPr>
        <w:pBdr>
          <w:bottom w:val="single" w:sz="8" w:space="4" w:color="2E75B6"/>
        </w:pBdr>
        <w:spacing w:after="0"/>
      </w:pPr>
    </w:p>
    <w:p w14:paraId="2A7CC069" w14:textId="77777777" w:rsidR="0087185D" w:rsidRDefault="0087185D">
      <w:pPr>
        <w:spacing w:after="80"/>
      </w:pPr>
    </w:p>
    <w:p w14:paraId="0EEE522A" w14:textId="77777777" w:rsidR="0087185D" w:rsidRDefault="00000000">
      <w:pPr>
        <w:pStyle w:val="Ttulo1"/>
        <w:spacing w:before="400"/>
      </w:pPr>
      <w:r>
        <w:t>1. Por qué necesitamos algo más allá del AHI</w:t>
      </w:r>
    </w:p>
    <w:p w14:paraId="67D2DCD0" w14:textId="77777777" w:rsidR="0087185D" w:rsidRDefault="00000000">
      <w:pPr>
        <w:spacing w:after="160"/>
        <w:jc w:val="both"/>
      </w:pPr>
      <w:r>
        <w:t>El diagnóstico del SAHS se sustenta en el AHI (apneas + hipopneas/hora) y el ODI (desaturaciones/hora). Ambos son contadores de frecuencia: cuantifican cuántas veces ocurre el evento por hora de sueño, pero no describen qué le sucede al organismo durante cada uno de ellos.</w:t>
      </w:r>
    </w:p>
    <w:p w14:paraId="1F6E0350" w14:textId="77777777" w:rsidR="0087185D" w:rsidRDefault="00000000">
      <w:pPr>
        <w:spacing w:after="160"/>
        <w:jc w:val="both"/>
      </w:pPr>
      <w:r>
        <w:t>Peppard et al. (Am J Respir Crit Care Med, 2018) lo formularon con precisión: los índices estándar "no capturan muchas facetas relevantes de los eventos de saturación de oxígeno, incluyendo su profundidad, rapidez, duración, agrupación temporal y variabilidad noche a noche." En la práctica, esto significa que dos pacientes con AHI idéntico pueden tener impactos autonómicos y cardiovasculares completamente distintos.</w:t>
      </w:r>
    </w:p>
    <w:p w14:paraId="5A81CF2E" w14:textId="77777777" w:rsidR="0087185D" w:rsidRDefault="00000000">
      <w:pPr>
        <w:spacing w:after="160"/>
        <w:jc w:val="both"/>
      </w:pPr>
      <w:r>
        <w:t>A esta limitación se suma la variabilidad noche a noche: el AHI puede variar un 30–50% entre registros consecutivos del mismo paciente (Bittencourt et al. 2001, Levendowski et al. 2009), lo que hace que un único estudio sea insuficiente para caracterizar al individuo. Por otro lado, estudios prospectivos han mostrado que el ODI supera al AHI como predictor de eventos cardiovasculares (Xie et al. 2016), y que la carga hipóxica nocturna (hypoxic burden) predice mortalidad cardiovascular independientemente del AHI (Azarbarzin et al. 2019).</w:t>
      </w:r>
    </w:p>
    <w:p w14:paraId="40F5FD9D" w14:textId="77777777" w:rsidR="0087185D" w:rsidRDefault="00000000">
      <w:pPr>
        <w:spacing w:after="160"/>
        <w:jc w:val="both"/>
      </w:pPr>
      <w:r>
        <w:t>El proyecto PAC_v2 propone dos ejes complementarios para superar estas limitaciones:</w:t>
      </w:r>
    </w:p>
    <w:p w14:paraId="380F4B13" w14:textId="77777777" w:rsidR="0087185D" w:rsidRDefault="00000000">
      <w:pPr>
        <w:pStyle w:val="Prrafodelista"/>
        <w:numPr>
          <w:ilvl w:val="0"/>
          <w:numId w:val="2"/>
        </w:numPr>
        <w:spacing w:after="80"/>
      </w:pPr>
      <w:r>
        <w:t>Morfología del EDO: la forma temporal de la curva de SpO₂ durante el evento, caracterizada en 5 morfotipos (C1–C5) por clustering adaptativo.</w:t>
      </w:r>
    </w:p>
    <w:p w14:paraId="3DBFE5FA" w14:textId="77777777" w:rsidR="0087185D" w:rsidRDefault="00000000">
      <w:pPr>
        <w:pStyle w:val="Prrafodelista"/>
        <w:numPr>
          <w:ilvl w:val="0"/>
          <w:numId w:val="2"/>
        </w:numPr>
        <w:spacing w:after="80"/>
      </w:pPr>
      <w:r>
        <w:t>Respuesta autonómica al EDO: cómo reacciona el sistema nervioso autónomo —en términos de frecuencia cardíaca y movimiento— frente a cada caída de SpO₂. Esto es lo que mide el ARI.</w:t>
      </w:r>
    </w:p>
    <w:p w14:paraId="05E68C01" w14:textId="77777777" w:rsidR="0087185D" w:rsidRDefault="0087185D">
      <w:pPr>
        <w:spacing w:after="80"/>
      </w:pPr>
    </w:p>
    <w:p w14:paraId="7895B037" w14:textId="77777777" w:rsidR="0087185D" w:rsidRDefault="00000000">
      <w:pPr>
        <w:pStyle w:val="Ttulo1"/>
        <w:spacing w:before="400"/>
      </w:pPr>
      <w:r>
        <w:t>2. El EDO como unidad de análisis</w:t>
      </w:r>
    </w:p>
    <w:p w14:paraId="2196347B" w14:textId="77777777" w:rsidR="0087185D" w:rsidRDefault="00000000">
      <w:pPr>
        <w:spacing w:after="160"/>
        <w:jc w:val="both"/>
      </w:pPr>
      <w:r>
        <w:t>El EDO (Evento de Desaturación de Oxígeno) se define como una caída de SpO₂ ≥ 2% con duración mínima de 10 segundos. Es la unidad elemental de análisis del pipeline PAC_v2. A diferencia del índice nocturno (AHI u ODI), el EDO preserva la información intra-evento: morfología, dinámica temporal, respuesta autonómica acoplada.</w:t>
      </w:r>
    </w:p>
    <w:p w14:paraId="1A6807F6" w14:textId="77777777" w:rsidR="0087185D" w:rsidRDefault="00000000">
      <w:pPr>
        <w:spacing w:after="160"/>
        <w:jc w:val="both"/>
      </w:pPr>
      <w:r>
        <w:t>Cada EDO se caracteriza por tres señales del dispositivo SOMNI 6000 (oxímetro de dedo):</w:t>
      </w:r>
    </w:p>
    <w:p w14:paraId="24062177" w14:textId="77777777" w:rsidR="0087185D" w:rsidRDefault="00000000">
      <w:pPr>
        <w:pStyle w:val="Prrafodelista"/>
        <w:numPr>
          <w:ilvl w:val="0"/>
          <w:numId w:val="2"/>
        </w:numPr>
        <w:spacing w:after="80"/>
      </w:pPr>
      <w:r>
        <w:t>Curva de SpO₂: morfología del evento (profundidad, duración, pendientes, área bajo la curva).</w:t>
      </w:r>
    </w:p>
    <w:p w14:paraId="1A3E9572" w14:textId="77777777" w:rsidR="0087185D" w:rsidRDefault="00000000">
      <w:pPr>
        <w:pStyle w:val="Prrafodelista"/>
        <w:numPr>
          <w:ilvl w:val="0"/>
          <w:numId w:val="2"/>
        </w:numPr>
        <w:spacing w:after="80"/>
      </w:pPr>
      <w:r>
        <w:t>Δhr: incremento de frecuencia cardíaca desde la línea de base del evento hasta el pico post-nadir.</w:t>
      </w:r>
    </w:p>
    <w:p w14:paraId="6DF7E744" w14:textId="77777777" w:rsidR="0087185D" w:rsidRDefault="00000000">
      <w:pPr>
        <w:pStyle w:val="Prrafodelista"/>
        <w:numPr>
          <w:ilvl w:val="0"/>
          <w:numId w:val="2"/>
        </w:numPr>
        <w:spacing w:after="80"/>
      </w:pPr>
      <w:r>
        <w:lastRenderedPageBreak/>
        <w:t>ΔMov: cambio en el sensor de movimiento del dedo, asociado a microdespertares y activación simpática motora.</w:t>
      </w:r>
    </w:p>
    <w:p w14:paraId="5A700606" w14:textId="77777777" w:rsidR="0087185D" w:rsidRDefault="00000000">
      <w:pPr>
        <w:spacing w:after="160"/>
        <w:jc w:val="both"/>
      </w:pPr>
      <w:r>
        <w:t>El corpus analizado comprende 12 pacientes, 553 noches y 85 277 EDOs con criterios de calidad de señal satisfechos. Todos los cálculos del ARI se realizan sobre este corpus.</w:t>
      </w:r>
    </w:p>
    <w:p w14:paraId="16A40ACB" w14:textId="77777777" w:rsidR="0087185D" w:rsidRDefault="0087185D">
      <w:pPr>
        <w:spacing w:after="80"/>
      </w:pPr>
    </w:p>
    <w:p w14:paraId="2E3ED5D4" w14:textId="77777777" w:rsidR="0087185D" w:rsidRDefault="00000000">
      <w:pPr>
        <w:pStyle w:val="Ttulo1"/>
        <w:spacing w:before="400"/>
      </w:pPr>
      <w:r>
        <w:t>3. Definición del ARI</w:t>
      </w:r>
    </w:p>
    <w:p w14:paraId="3B9DF5D1" w14:textId="77777777" w:rsidR="0087185D" w:rsidRDefault="00000000">
      <w:pPr>
        <w:pStyle w:val="Ttulo2"/>
        <w:spacing w:before="280"/>
      </w:pPr>
      <w:r>
        <w:t>3.1 Concepto</w:t>
      </w:r>
    </w:p>
    <w:p w14:paraId="35EC1790" w14:textId="77777777" w:rsidR="0087185D" w:rsidRDefault="00000000">
      <w:pPr>
        <w:spacing w:after="160"/>
        <w:jc w:val="both"/>
      </w:pPr>
      <w:r>
        <w:t>El ARI (Índice de Respuesta Autonómica) mide la ganancia autonómica de cada evento: cuánta respuesta fisiológica cardíaca y motora genera el organismo por unidad de estímulo hipóxico. Se construye como un índice adimensional normalizado a nivel de corpus.</w:t>
      </w:r>
    </w:p>
    <w:p w14:paraId="3D50B17A" w14:textId="77777777" w:rsidR="0087185D" w:rsidRDefault="00000000">
      <w:pPr>
        <w:spacing w:after="160"/>
        <w:jc w:val="both"/>
      </w:pPr>
      <w:r>
        <w:t>El principio es el de un cociente respuesta/estímulo: ante la misma caída de SpO₂, ¿cuánto sube la FC? ¿cuánto se mueve el paciente? Un ARI alto indica una respuesta proporcionalmente intensa; un ARI bajo indica respuesta atenuada o silencio autonómico.</w:t>
      </w:r>
    </w:p>
    <w:p w14:paraId="5BB557B5" w14:textId="77777777" w:rsidR="0087185D" w:rsidRDefault="0087185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7492"/>
      </w:tblGrid>
      <w:tr w:rsidR="0087185D" w14:paraId="1E7ED2C4" w14:textId="77777777">
        <w:tc>
          <w:tcPr>
            <w:tcW w:w="1534" w:type="dxa"/>
            <w:tcBorders>
              <w:top w:val="single" w:sz="4" w:space="0" w:color="8BAED0"/>
              <w:left w:val="single" w:sz="4" w:space="0" w:color="8BAED0"/>
              <w:bottom w:val="single" w:sz="4" w:space="0" w:color="8BAED0"/>
              <w:right w:val="single" w:sz="4" w:space="0" w:color="8BAED0"/>
            </w:tcBorders>
            <w:shd w:val="clear" w:color="auto" w:fill="2E75B6"/>
            <w:tcMar>
              <w:top w:w="80" w:type="dxa"/>
              <w:left w:w="120" w:type="dxa"/>
              <w:bottom w:w="80" w:type="dxa"/>
              <w:right w:w="120" w:type="dxa"/>
            </w:tcMar>
          </w:tcPr>
          <w:p w14:paraId="56F2920B" w14:textId="77777777" w:rsidR="0087185D" w:rsidRDefault="00000000">
            <w:pPr>
              <w:jc w:val="center"/>
            </w:pPr>
            <w:r>
              <w:rPr>
                <w:b/>
                <w:bCs/>
                <w:color w:val="FFFFFF"/>
                <w:sz w:val="20"/>
                <w:szCs w:val="20"/>
              </w:rPr>
              <w:t>Intuición clínica</w:t>
            </w:r>
          </w:p>
        </w:tc>
        <w:tc>
          <w:tcPr>
            <w:tcW w:w="7492" w:type="dxa"/>
            <w:tcBorders>
              <w:top w:val="single" w:sz="1" w:space="0" w:color="C8D8E8"/>
              <w:left w:val="single" w:sz="1" w:space="0" w:color="C8D8E8"/>
              <w:bottom w:val="single" w:sz="1" w:space="0" w:color="C8D8E8"/>
              <w:right w:val="single" w:sz="1" w:space="0" w:color="C8D8E8"/>
            </w:tcBorders>
            <w:shd w:val="clear" w:color="auto" w:fill="EEF5FC"/>
            <w:tcMar>
              <w:top w:w="80" w:type="dxa"/>
              <w:left w:w="140" w:type="dxa"/>
              <w:bottom w:w="80" w:type="dxa"/>
              <w:right w:w="140" w:type="dxa"/>
            </w:tcMar>
          </w:tcPr>
          <w:p w14:paraId="32D9A14A" w14:textId="77777777" w:rsidR="0087185D" w:rsidRDefault="00000000">
            <w:pPr>
              <w:spacing w:after="60"/>
            </w:pPr>
            <w:r>
              <w:rPr>
                <w:sz w:val="20"/>
                <w:szCs w:val="20"/>
              </w:rPr>
              <w:t>Piense en el EDO como un "desafío" al organismo.</w:t>
            </w:r>
          </w:p>
          <w:p w14:paraId="620D5FEF" w14:textId="77777777" w:rsidR="0087185D" w:rsidRDefault="00000000">
            <w:pPr>
              <w:spacing w:after="60"/>
            </w:pPr>
            <w:r>
              <w:rPr>
                <w:sz w:val="20"/>
                <w:szCs w:val="20"/>
              </w:rPr>
              <w:t>• ARI alto: el sistema nervioso autónomo responde con fuerza.</w:t>
            </w:r>
          </w:p>
          <w:p w14:paraId="36263BAD" w14:textId="77777777" w:rsidR="0087185D" w:rsidRDefault="00000000">
            <w:pPr>
              <w:spacing w:after="60"/>
            </w:pPr>
            <w:r>
              <w:rPr>
                <w:sz w:val="20"/>
                <w:szCs w:val="20"/>
              </w:rPr>
              <w:t xml:space="preserve">  FC sube, el paciente se mueve — activación simpática clara.</w:t>
            </w:r>
          </w:p>
          <w:p w14:paraId="73CC2C3E" w14:textId="77777777" w:rsidR="0087185D" w:rsidRDefault="00000000">
            <w:pPr>
              <w:spacing w:after="60"/>
            </w:pPr>
            <w:r>
              <w:rPr>
                <w:sz w:val="20"/>
                <w:szCs w:val="20"/>
              </w:rPr>
              <w:t>• ARI bajo: la respuesta está atenuada o ausente.</w:t>
            </w:r>
          </w:p>
          <w:p w14:paraId="7ACA42E7" w14:textId="77777777" w:rsidR="0087185D" w:rsidRDefault="00000000">
            <w:pPr>
              <w:spacing w:after="60"/>
            </w:pPr>
            <w:r>
              <w:rPr>
                <w:sz w:val="20"/>
                <w:szCs w:val="20"/>
              </w:rPr>
              <w:t xml:space="preserve">  La SpO₂ cae pero el corazón no reacciona, el paciente no se mueve.</w:t>
            </w:r>
          </w:p>
          <w:p w14:paraId="3C7585D7" w14:textId="77777777" w:rsidR="0087185D" w:rsidRDefault="00000000">
            <w:pPr>
              <w:spacing w:after="60"/>
            </w:pPr>
            <w:r>
              <w:rPr>
                <w:sz w:val="20"/>
                <w:szCs w:val="20"/>
              </w:rPr>
              <w:t>• Silencio autonómico (C5): hipoxia severa con ARI mínimo.</w:t>
            </w:r>
          </w:p>
          <w:p w14:paraId="039C4E91" w14:textId="77777777" w:rsidR="0087185D" w:rsidRDefault="00000000">
            <w:pPr>
              <w:spacing w:after="60"/>
            </w:pPr>
            <w:r>
              <w:rPr>
                <w:sz w:val="20"/>
                <w:szCs w:val="20"/>
              </w:rPr>
              <w:t xml:space="preserve">  El organismo ya no tiene capacidad de responder.</w:t>
            </w:r>
          </w:p>
        </w:tc>
      </w:tr>
    </w:tbl>
    <w:p w14:paraId="026864A0" w14:textId="77777777" w:rsidR="0087185D" w:rsidRDefault="0087185D">
      <w:pPr>
        <w:spacing w:after="80"/>
      </w:pPr>
    </w:p>
    <w:p w14:paraId="79E9032C" w14:textId="77777777" w:rsidR="0087185D" w:rsidRDefault="00000000">
      <w:pPr>
        <w:pStyle w:val="Ttulo2"/>
        <w:spacing w:before="280"/>
      </w:pPr>
      <w:r>
        <w:t>3.2 Construcción paso a paso</w:t>
      </w:r>
    </w:p>
    <w:p w14:paraId="7B2B9FE6" w14:textId="77777777" w:rsidR="0087185D" w:rsidRDefault="00000000">
      <w:pPr>
        <w:spacing w:after="160"/>
        <w:jc w:val="both"/>
      </w:pPr>
      <w:r>
        <w:t>El ARI se calcula en tres pasos sobre el conjunto completo de EDOs quality del corpus: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
        <w:gridCol w:w="2157"/>
        <w:gridCol w:w="3051"/>
        <w:gridCol w:w="3145"/>
      </w:tblGrid>
      <w:tr w:rsidR="0087185D" w14:paraId="00C5AA04" w14:textId="77777777">
        <w:trPr>
          <w:tblHeader/>
        </w:trPr>
        <w:tc>
          <w:tcPr>
            <w:tcW w:w="632"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53A2477E" w14:textId="77777777" w:rsidR="0087185D" w:rsidRDefault="00000000">
            <w:pPr>
              <w:jc w:val="center"/>
            </w:pPr>
            <w:r>
              <w:rPr>
                <w:b/>
                <w:bCs/>
                <w:color w:val="FFFFFF"/>
                <w:sz w:val="20"/>
                <w:szCs w:val="20"/>
              </w:rPr>
              <w:t>Paso</w:t>
            </w:r>
          </w:p>
        </w:tc>
        <w:tc>
          <w:tcPr>
            <w:tcW w:w="216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139DA03E" w14:textId="77777777" w:rsidR="0087185D" w:rsidRDefault="00000000">
            <w:pPr>
              <w:jc w:val="center"/>
            </w:pPr>
            <w:r>
              <w:rPr>
                <w:b/>
                <w:bCs/>
                <w:color w:val="FFFFFF"/>
                <w:sz w:val="20"/>
                <w:szCs w:val="20"/>
              </w:rPr>
              <w:t>Operación</w:t>
            </w:r>
          </w:p>
        </w:tc>
        <w:tc>
          <w:tcPr>
            <w:tcW w:w="3069"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21191A7B" w14:textId="77777777" w:rsidR="0087185D" w:rsidRDefault="00000000">
            <w:pPr>
              <w:jc w:val="center"/>
            </w:pPr>
            <w:r>
              <w:rPr>
                <w:b/>
                <w:bCs/>
                <w:color w:val="FFFFFF"/>
                <w:sz w:val="20"/>
                <w:szCs w:val="20"/>
              </w:rPr>
              <w:t>Fórmula</w:t>
            </w:r>
          </w:p>
        </w:tc>
        <w:tc>
          <w:tcPr>
            <w:tcW w:w="3159"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5B199DC0" w14:textId="77777777" w:rsidR="0087185D" w:rsidRDefault="00000000">
            <w:pPr>
              <w:jc w:val="center"/>
            </w:pPr>
            <w:r>
              <w:rPr>
                <w:b/>
                <w:bCs/>
                <w:color w:val="FFFFFF"/>
                <w:sz w:val="20"/>
                <w:szCs w:val="20"/>
              </w:rPr>
              <w:t>Resultado</w:t>
            </w:r>
          </w:p>
        </w:tc>
      </w:tr>
      <w:tr w:rsidR="0087185D" w14:paraId="71762D4A" w14:textId="77777777">
        <w:tc>
          <w:tcPr>
            <w:tcW w:w="632"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3A181812" w14:textId="77777777" w:rsidR="0087185D" w:rsidRDefault="00000000">
            <w:r>
              <w:rPr>
                <w:b/>
                <w:bCs/>
                <w:sz w:val="20"/>
                <w:szCs w:val="20"/>
              </w:rPr>
              <w:t>1</w:t>
            </w:r>
          </w:p>
        </w:tc>
        <w:tc>
          <w:tcPr>
            <w:tcW w:w="216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4960425B" w14:textId="77777777" w:rsidR="0087185D" w:rsidRDefault="00000000">
            <w:r>
              <w:rPr>
                <w:sz w:val="20"/>
                <w:szCs w:val="20"/>
              </w:rPr>
              <w:t>Calcular ganancias brutas</w:t>
            </w:r>
          </w:p>
        </w:tc>
        <w:tc>
          <w:tcPr>
            <w:tcW w:w="3069"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0CDE7DDF" w14:textId="77777777" w:rsidR="0087185D" w:rsidRDefault="00000000">
            <w:r>
              <w:rPr>
                <w:sz w:val="20"/>
                <w:szCs w:val="20"/>
              </w:rPr>
              <w:t>hr_gain = Δhr_bpm / drop_pct mov_gain = ΔMov / drop_pct</w:t>
            </w:r>
          </w:p>
        </w:tc>
        <w:tc>
          <w:tcPr>
            <w:tcW w:w="3159"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4E8F7B33" w14:textId="77777777" w:rsidR="0087185D" w:rsidRDefault="00000000">
            <w:r>
              <w:rPr>
                <w:sz w:val="20"/>
                <w:szCs w:val="20"/>
              </w:rPr>
              <w:t>Ratio respuesta/estímulo para FC y MOV. Unidades heterogéneas (bpm/pp vs u.a./pp).</w:t>
            </w:r>
          </w:p>
        </w:tc>
      </w:tr>
      <w:tr w:rsidR="0087185D" w14:paraId="1FDF0A54" w14:textId="77777777">
        <w:tc>
          <w:tcPr>
            <w:tcW w:w="632"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5DB460F3" w14:textId="77777777" w:rsidR="0087185D" w:rsidRDefault="00000000">
            <w:r>
              <w:rPr>
                <w:b/>
                <w:bCs/>
                <w:sz w:val="20"/>
                <w:szCs w:val="20"/>
              </w:rPr>
              <w:t>2</w:t>
            </w:r>
          </w:p>
        </w:tc>
        <w:tc>
          <w:tcPr>
            <w:tcW w:w="216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6BF827DC" w14:textId="77777777" w:rsidR="0087185D" w:rsidRDefault="00000000">
            <w:r>
              <w:rPr>
                <w:sz w:val="20"/>
                <w:szCs w:val="20"/>
              </w:rPr>
              <w:t>Percentilizar corpus-wide</w:t>
            </w:r>
          </w:p>
        </w:tc>
        <w:tc>
          <w:tcPr>
            <w:tcW w:w="3069"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2A1E1E1B" w14:textId="77777777" w:rsidR="0087185D" w:rsidRDefault="00000000">
            <w:r>
              <w:rPr>
                <w:sz w:val="20"/>
                <w:szCs w:val="20"/>
              </w:rPr>
              <w:t>P(x) = rankdata(x) / N  (N = 85 277)</w:t>
            </w:r>
          </w:p>
        </w:tc>
        <w:tc>
          <w:tcPr>
            <w:tcW w:w="3159"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6075BCF6" w14:textId="77777777" w:rsidR="0087185D" w:rsidRDefault="00000000">
            <w:r>
              <w:rPr>
                <w:sz w:val="20"/>
                <w:szCs w:val="20"/>
              </w:rPr>
              <w:t>Transforma ambas variables a [0,1]. Elimina diferencia de escalas. Normalización no paramétrica robusta.</w:t>
            </w:r>
          </w:p>
        </w:tc>
      </w:tr>
      <w:tr w:rsidR="0087185D" w14:paraId="2625AD2F" w14:textId="77777777">
        <w:tc>
          <w:tcPr>
            <w:tcW w:w="632"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4A9BEDA4" w14:textId="77777777" w:rsidR="0087185D" w:rsidRDefault="00000000">
            <w:r>
              <w:rPr>
                <w:b/>
                <w:bCs/>
                <w:sz w:val="20"/>
                <w:szCs w:val="20"/>
              </w:rPr>
              <w:t>3</w:t>
            </w:r>
          </w:p>
        </w:tc>
        <w:tc>
          <w:tcPr>
            <w:tcW w:w="216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5AF87E19" w14:textId="77777777" w:rsidR="0087185D" w:rsidRDefault="00000000">
            <w:r>
              <w:rPr>
                <w:sz w:val="20"/>
                <w:szCs w:val="20"/>
              </w:rPr>
              <w:t>Combinar ponderado</w:t>
            </w:r>
          </w:p>
        </w:tc>
        <w:tc>
          <w:tcPr>
            <w:tcW w:w="3069"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0A0A76E7" w14:textId="77777777" w:rsidR="0087185D" w:rsidRDefault="00000000">
            <w:r>
              <w:rPr>
                <w:b/>
                <w:bCs/>
                <w:sz w:val="20"/>
                <w:szCs w:val="20"/>
              </w:rPr>
              <w:t>ARI = 0.6 · P(hr_gain) + 0.4 · P(mov_gain)</w:t>
            </w:r>
          </w:p>
        </w:tc>
        <w:tc>
          <w:tcPr>
            <w:tcW w:w="3159"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4E802C05" w14:textId="77777777" w:rsidR="0087185D" w:rsidRDefault="00000000">
            <w:r>
              <w:rPr>
                <w:sz w:val="20"/>
                <w:szCs w:val="20"/>
              </w:rPr>
              <w:t>FC recibe mayor peso (señal cardíaca más directa). MOV aporta información de arousal motor. Resultado en [0,1].</w:t>
            </w:r>
          </w:p>
        </w:tc>
      </w:tr>
    </w:tbl>
    <w:p w14:paraId="0E71B719" w14:textId="77777777" w:rsidR="0087185D" w:rsidRDefault="0087185D">
      <w:pPr>
        <w:spacing w:after="80"/>
      </w:pPr>
    </w:p>
    <w:p w14:paraId="3B89F773" w14:textId="77777777" w:rsidR="0087185D" w:rsidRDefault="00000000">
      <w:pPr>
        <w:pStyle w:val="Ttulo2"/>
        <w:spacing w:before="280"/>
      </w:pPr>
      <w:r>
        <w:lastRenderedPageBreak/>
        <w:t>3.3 Fórmula completa</w:t>
      </w:r>
    </w:p>
    <w:p w14:paraId="36E6C78D" w14:textId="77777777" w:rsidR="0087185D" w:rsidRDefault="00000000">
      <w:pPr>
        <w:spacing w:before="100" w:after="100"/>
        <w:jc w:val="center"/>
      </w:pPr>
      <w:r>
        <w:rPr>
          <w:rFonts w:ascii="Cambria Math" w:eastAsia="Cambria Math" w:hAnsi="Cambria Math" w:cs="Cambria Math"/>
          <w:b/>
          <w:bCs/>
          <w:color w:val="1F3864"/>
          <w:sz w:val="28"/>
          <w:szCs w:val="28"/>
        </w:rPr>
        <w:t>ARIᵢ  =  0.6 · P(hr_gainᵢ)  +  0.4 · P(mov_gainᵢ)</w:t>
      </w:r>
    </w:p>
    <w:p w14:paraId="4E823EB8" w14:textId="77777777" w:rsidR="0087185D" w:rsidRDefault="0087185D">
      <w:pPr>
        <w:spacing w:after="80"/>
      </w:pPr>
    </w:p>
    <w:p w14:paraId="75ACF228" w14:textId="77777777" w:rsidR="0087185D" w:rsidRDefault="00000000">
      <w:pPr>
        <w:spacing w:after="160"/>
        <w:jc w:val="both"/>
      </w:pPr>
      <w:r>
        <w:t>donde:</w:t>
      </w:r>
    </w:p>
    <w:p w14:paraId="06D2D628" w14:textId="77777777" w:rsidR="0087185D" w:rsidRDefault="00000000">
      <w:pPr>
        <w:pStyle w:val="Prrafodelista"/>
        <w:numPr>
          <w:ilvl w:val="0"/>
          <w:numId w:val="2"/>
        </w:numPr>
        <w:spacing w:after="80"/>
      </w:pPr>
      <w:r>
        <w:t>hr_gainᵢ = Δhr_bpmᵢ / drop_pctᵢ — incremento de FC (lpm) dividido por la profundidad de la caída de SpO₂ (puntos porcentuales).</w:t>
      </w:r>
    </w:p>
    <w:p w14:paraId="616E661D" w14:textId="77777777" w:rsidR="0087185D" w:rsidRDefault="00000000">
      <w:pPr>
        <w:pStyle w:val="Prrafodelista"/>
        <w:numPr>
          <w:ilvl w:val="0"/>
          <w:numId w:val="2"/>
        </w:numPr>
        <w:spacing w:after="80"/>
      </w:pPr>
      <w:r>
        <w:t>mov_gainᵢ = (peak_movᵢ − baseline_movᵢ) / drop_pctᵢ — incremento de movimiento del sensor relativo a la caída de SpO₂.</w:t>
      </w:r>
    </w:p>
    <w:p w14:paraId="63505F78" w14:textId="77777777" w:rsidR="0087185D" w:rsidRDefault="00000000">
      <w:pPr>
        <w:pStyle w:val="Prrafodelista"/>
        <w:numPr>
          <w:ilvl w:val="0"/>
          <w:numId w:val="2"/>
        </w:numPr>
        <w:spacing w:after="80"/>
      </w:pPr>
      <w:r>
        <w:t>P(·) = rango percentil dentro del corpus completo (rankdata / N, con N = 85 277 EDOs quality).</w:t>
      </w:r>
    </w:p>
    <w:p w14:paraId="1D6B5EE1" w14:textId="77777777" w:rsidR="0087185D" w:rsidRDefault="00000000">
      <w:pPr>
        <w:pStyle w:val="Prrafodelista"/>
        <w:numPr>
          <w:ilvl w:val="0"/>
          <w:numId w:val="2"/>
        </w:numPr>
        <w:spacing w:after="80"/>
      </w:pPr>
      <w:r>
        <w:t>Los pesos 0.6 / 0.4 reflejan la mayor confiabilidad de la señal cardíaca derivada de PPG frente al sensor de movimiento.</w:t>
      </w:r>
    </w:p>
    <w:p w14:paraId="3B23A0E0" w14:textId="77777777" w:rsidR="0087185D" w:rsidRDefault="0087185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7492"/>
      </w:tblGrid>
      <w:tr w:rsidR="0087185D" w14:paraId="17609515" w14:textId="77777777">
        <w:tc>
          <w:tcPr>
            <w:tcW w:w="1534" w:type="dxa"/>
            <w:tcBorders>
              <w:top w:val="single" w:sz="4" w:space="0" w:color="8BAED0"/>
              <w:left w:val="single" w:sz="4" w:space="0" w:color="8BAED0"/>
              <w:bottom w:val="single" w:sz="4" w:space="0" w:color="8BAED0"/>
              <w:right w:val="single" w:sz="4" w:space="0" w:color="8BAED0"/>
            </w:tcBorders>
            <w:shd w:val="clear" w:color="auto" w:fill="2E7D32"/>
            <w:tcMar>
              <w:top w:w="80" w:type="dxa"/>
              <w:left w:w="120" w:type="dxa"/>
              <w:bottom w:w="80" w:type="dxa"/>
              <w:right w:w="120" w:type="dxa"/>
            </w:tcMar>
          </w:tcPr>
          <w:p w14:paraId="60DF819F" w14:textId="77777777" w:rsidR="0087185D" w:rsidRDefault="00000000">
            <w:pPr>
              <w:jc w:val="center"/>
            </w:pPr>
            <w:r>
              <w:rPr>
                <w:b/>
                <w:bCs/>
                <w:color w:val="FFFFFF"/>
                <w:sz w:val="20"/>
                <w:szCs w:val="20"/>
              </w:rPr>
              <w:t>Por qué percentilizar y no normalizar por z-score</w:t>
            </w:r>
          </w:p>
        </w:tc>
        <w:tc>
          <w:tcPr>
            <w:tcW w:w="7492" w:type="dxa"/>
            <w:tcBorders>
              <w:top w:val="single" w:sz="1" w:space="0" w:color="C8D8E8"/>
              <w:left w:val="single" w:sz="1" w:space="0" w:color="C8D8E8"/>
              <w:bottom w:val="single" w:sz="1" w:space="0" w:color="C8D8E8"/>
              <w:right w:val="single" w:sz="1" w:space="0" w:color="C8D8E8"/>
            </w:tcBorders>
            <w:shd w:val="clear" w:color="auto" w:fill="E8F5E9"/>
            <w:tcMar>
              <w:top w:w="80" w:type="dxa"/>
              <w:left w:w="140" w:type="dxa"/>
              <w:bottom w:w="80" w:type="dxa"/>
              <w:right w:w="140" w:type="dxa"/>
            </w:tcMar>
          </w:tcPr>
          <w:p w14:paraId="797C9F34" w14:textId="77777777" w:rsidR="0087185D" w:rsidRDefault="00000000">
            <w:pPr>
              <w:spacing w:after="60"/>
            </w:pPr>
            <w:r>
              <w:rPr>
                <w:sz w:val="20"/>
                <w:szCs w:val="20"/>
              </w:rPr>
              <w:t>Sin percentilizar, las escalas son incompatibles:</w:t>
            </w:r>
          </w:p>
          <w:p w14:paraId="3CF4840E" w14:textId="77777777" w:rsidR="0087185D" w:rsidRDefault="00000000">
            <w:pPr>
              <w:spacing w:after="60"/>
            </w:pPr>
            <w:r>
              <w:rPr>
                <w:sz w:val="20"/>
                <w:szCs w:val="20"/>
              </w:rPr>
              <w:t xml:space="preserve">  hr_gain   ≈ 0.1–2.0 bpm/pp</w:t>
            </w:r>
          </w:p>
          <w:p w14:paraId="0B7AD1CC" w14:textId="77777777" w:rsidR="0087185D" w:rsidRDefault="00000000">
            <w:pPr>
              <w:spacing w:after="60"/>
            </w:pPr>
            <w:r>
              <w:rPr>
                <w:sz w:val="20"/>
                <w:szCs w:val="20"/>
              </w:rPr>
              <w:t xml:space="preserve">  mov_gain  ≈ 0–500 u.a./pp (escala arbitraria del sensor)</w:t>
            </w:r>
          </w:p>
          <w:p w14:paraId="01CF483E" w14:textId="77777777" w:rsidR="0087185D" w:rsidRDefault="00000000">
            <w:pPr>
              <w:spacing w:after="60"/>
            </w:pPr>
            <w:r>
              <w:rPr>
                <w:sz w:val="20"/>
                <w:szCs w:val="20"/>
              </w:rPr>
              <w:t>La percentilización corpus-wide resuelve esto: ambas variables</w:t>
            </w:r>
          </w:p>
          <w:p w14:paraId="081330CB" w14:textId="77777777" w:rsidR="0087185D" w:rsidRDefault="00000000">
            <w:pPr>
              <w:spacing w:after="60"/>
            </w:pPr>
            <w:r>
              <w:rPr>
                <w:sz w:val="20"/>
                <w:szCs w:val="20"/>
              </w:rPr>
              <w:t>quedan en [0,1] con distribuciones comparables.</w:t>
            </w:r>
          </w:p>
          <w:p w14:paraId="63438D0D" w14:textId="77777777" w:rsidR="0087185D" w:rsidRDefault="00000000">
            <w:pPr>
              <w:spacing w:after="60"/>
            </w:pPr>
            <w:r>
              <w:rPr>
                <w:sz w:val="20"/>
                <w:szCs w:val="20"/>
              </w:rPr>
              <w:t>Ventaja adicional: es robusta a outliers y no asume gaussianidad.</w:t>
            </w:r>
          </w:p>
          <w:p w14:paraId="31870A20" w14:textId="77777777" w:rsidR="0087185D" w:rsidRDefault="00000000">
            <w:pPr>
              <w:spacing w:after="60"/>
            </w:pPr>
            <w:r>
              <w:rPr>
                <w:sz w:val="20"/>
                <w:szCs w:val="20"/>
              </w:rPr>
              <w:t>El resultado es un rango relativo dentro del corpus — similar a</w:t>
            </w:r>
          </w:p>
          <w:p w14:paraId="249C3316" w14:textId="77777777" w:rsidR="0087185D" w:rsidRDefault="00000000">
            <w:pPr>
              <w:spacing w:after="60"/>
            </w:pPr>
            <w:r>
              <w:rPr>
                <w:sz w:val="20"/>
                <w:szCs w:val="20"/>
              </w:rPr>
              <w:t>la estrategia de percentiles de referencia en medicina clínica.</w:t>
            </w:r>
          </w:p>
        </w:tc>
      </w:tr>
    </w:tbl>
    <w:p w14:paraId="6F44020B" w14:textId="77777777" w:rsidR="0087185D" w:rsidRDefault="0087185D">
      <w:pPr>
        <w:spacing w:after="80"/>
      </w:pPr>
    </w:p>
    <w:p w14:paraId="1F0F61C6" w14:textId="77777777" w:rsidR="0087185D" w:rsidRDefault="00000000">
      <w:pPr>
        <w:pStyle w:val="Ttulo1"/>
        <w:spacing w:before="400"/>
      </w:pPr>
      <w:r>
        <w:t>4. Verificación empírica de las propiedades del ARI</w:t>
      </w:r>
    </w:p>
    <w:p w14:paraId="2C26B37C" w14:textId="77777777" w:rsidR="0087185D" w:rsidRDefault="00000000">
      <w:pPr>
        <w:pStyle w:val="Ttulo2"/>
        <w:spacing w:before="280"/>
      </w:pPr>
      <w:r>
        <w:t>4.1 Ortogonalidad respecto al estímulo hipóxico</w:t>
      </w:r>
    </w:p>
    <w:p w14:paraId="63C06B9E" w14:textId="77777777" w:rsidR="0087185D" w:rsidRDefault="00000000">
      <w:pPr>
        <w:spacing w:after="160"/>
        <w:jc w:val="both"/>
      </w:pPr>
      <w:r>
        <w:t>La propiedad más importante del ARI es que no reduplica la información de los índices hipóxicos ya existentes (AHI, ODI3, T90). Si el ARI simplemente reflejase la profundidad de la caída, no añadiría nada al diagnóstico clásico.</w:t>
      </w:r>
    </w:p>
    <w:p w14:paraId="67ED88DA" w14:textId="77777777" w:rsidR="0087185D" w:rsidRDefault="00000000">
      <w:pPr>
        <w:spacing w:after="160"/>
        <w:jc w:val="both"/>
      </w:pPr>
      <w:r>
        <w:t>El análisis de correlación sobre el corpus completo arrojó:</w:t>
      </w:r>
    </w:p>
    <w:p w14:paraId="1EA80816" w14:textId="77777777" w:rsidR="0087185D" w:rsidRDefault="00000000">
      <w:pPr>
        <w:spacing w:before="80" w:after="80"/>
        <w:jc w:val="center"/>
      </w:pPr>
      <w:r>
        <w:rPr>
          <w:b/>
          <w:bCs/>
          <w:color w:val="2E75B6"/>
          <w:sz w:val="24"/>
          <w:szCs w:val="24"/>
        </w:rPr>
        <w:t>ρ(ARI, sev_morfotipo) = 0.035   (Spearman, n = 85 277 EDOs) [NB02]</w:t>
      </w:r>
    </w:p>
    <w:p w14:paraId="2F4AF542" w14:textId="77777777" w:rsidR="0087185D" w:rsidRDefault="00000000">
      <w:pPr>
        <w:spacing w:after="120"/>
        <w:jc w:val="center"/>
      </w:pPr>
      <w:r>
        <w:rPr>
          <w:i/>
          <w:iCs/>
          <w:color w:val="666666"/>
        </w:rPr>
        <w:t>AUC (C4+C5 vs C1–C3) = 0.453  →  nivel de azar</w:t>
      </w:r>
    </w:p>
    <w:p w14:paraId="69AFA078" w14:textId="77777777" w:rsidR="0087185D" w:rsidRDefault="00000000">
      <w:pPr>
        <w:spacing w:after="160"/>
        <w:jc w:val="both"/>
      </w:pPr>
      <w:r>
        <w:t>Una correlación de 0,040 en 84 000 observaciones indica independencia estadística prácticamente completa. El AUC de 0,457 confirma que el ARI no discrimina morfotipos severos de leves mejor que el azar: no está capturando severidad hipóxica sino información del plano autonómico.</w:t>
      </w:r>
    </w:p>
    <w:p w14:paraId="11ABFDFA" w14:textId="77777777" w:rsidR="0087185D" w:rsidRDefault="00000000">
      <w:pPr>
        <w:spacing w:after="160"/>
        <w:jc w:val="both"/>
      </w:pPr>
      <w:r>
        <w:t>En términos clínicos: el ARI y el ODI miden cosas distintas. Conocer el ODI de un paciente no permite predecir su ARI, y viceversa. Esto es exactamente lo que justifica la utilidad del índice.</w:t>
      </w:r>
    </w:p>
    <w:p w14:paraId="0E3B2642" w14:textId="77777777" w:rsidR="0087185D" w:rsidRDefault="0087185D">
      <w:pPr>
        <w:spacing w:after="80"/>
      </w:pPr>
    </w:p>
    <w:p w14:paraId="0E375B91" w14:textId="77777777" w:rsidR="0087185D" w:rsidRDefault="00000000">
      <w:pPr>
        <w:pStyle w:val="Ttulo2"/>
        <w:spacing w:before="280"/>
      </w:pPr>
      <w:r>
        <w:t>4.2 HR gain por morfotipo (datos reales del corpus)</w:t>
      </w:r>
    </w:p>
    <w:p w14:paraId="7CC075E1" w14:textId="77777777" w:rsidR="0087185D" w:rsidRDefault="00000000">
      <w:pPr>
        <w:spacing w:after="160"/>
        <w:jc w:val="both"/>
      </w:pPr>
      <w:r>
        <w:t>La ganancia de FC mediana por morfotipo C1–C5, calculada sobre el corpus de 85 277 EDOs:</w:t>
      </w:r>
    </w:p>
    <w:p w14:paraId="7E773F62" w14:textId="77777777" w:rsidR="0087185D" w:rsidRDefault="0087185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8"/>
        <w:gridCol w:w="1241"/>
        <w:gridCol w:w="1572"/>
        <w:gridCol w:w="1591"/>
        <w:gridCol w:w="3484"/>
      </w:tblGrid>
      <w:tr w:rsidR="0087185D" w14:paraId="2CF00F57" w14:textId="77777777">
        <w:trPr>
          <w:tblHeader/>
        </w:trPr>
        <w:tc>
          <w:tcPr>
            <w:tcW w:w="903"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3FC77C2D" w14:textId="77777777" w:rsidR="0087185D" w:rsidRDefault="00000000">
            <w:pPr>
              <w:jc w:val="center"/>
            </w:pPr>
            <w:r>
              <w:rPr>
                <w:b/>
                <w:bCs/>
                <w:color w:val="FFFFFF"/>
                <w:sz w:val="20"/>
                <w:szCs w:val="20"/>
              </w:rPr>
              <w:t>Morfotipo</w:t>
            </w:r>
          </w:p>
        </w:tc>
        <w:tc>
          <w:tcPr>
            <w:tcW w:w="1173"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62F3A1A3" w14:textId="77777777" w:rsidR="0087185D" w:rsidRDefault="00000000">
            <w:pPr>
              <w:jc w:val="center"/>
            </w:pPr>
            <w:r>
              <w:rPr>
                <w:b/>
                <w:bCs/>
                <w:color w:val="FFFFFF"/>
                <w:sz w:val="20"/>
                <w:szCs w:val="20"/>
              </w:rPr>
              <w:t>Prevalencia</w:t>
            </w:r>
          </w:p>
        </w:tc>
        <w:tc>
          <w:tcPr>
            <w:tcW w:w="1625"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378CDB82" w14:textId="77777777" w:rsidR="0087185D" w:rsidRDefault="00000000">
            <w:pPr>
              <w:jc w:val="center"/>
            </w:pPr>
            <w:r>
              <w:rPr>
                <w:b/>
                <w:bCs/>
                <w:color w:val="FFFFFF"/>
                <w:sz w:val="20"/>
                <w:szCs w:val="20"/>
              </w:rPr>
              <w:t>HR gain mediana (bpm/pp)</w:t>
            </w:r>
          </w:p>
        </w:tc>
        <w:tc>
          <w:tcPr>
            <w:tcW w:w="1625"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31CDD648" w14:textId="77777777" w:rsidR="0087185D" w:rsidRDefault="00000000">
            <w:pPr>
              <w:jc w:val="center"/>
            </w:pPr>
            <w:r>
              <w:rPr>
                <w:b/>
                <w:bCs/>
                <w:color w:val="FFFFFF"/>
                <w:sz w:val="20"/>
                <w:szCs w:val="20"/>
              </w:rPr>
              <w:t>Perfil autonómico</w:t>
            </w:r>
          </w:p>
        </w:tc>
        <w:tc>
          <w:tcPr>
            <w:tcW w:w="3701"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40A249A5" w14:textId="77777777" w:rsidR="0087185D" w:rsidRDefault="00000000">
            <w:pPr>
              <w:jc w:val="center"/>
            </w:pPr>
            <w:r>
              <w:rPr>
                <w:b/>
                <w:bCs/>
                <w:color w:val="FFFFFF"/>
                <w:sz w:val="20"/>
                <w:szCs w:val="20"/>
              </w:rPr>
              <w:t>Interpretación</w:t>
            </w:r>
          </w:p>
        </w:tc>
      </w:tr>
      <w:tr w:rsidR="0087185D" w14:paraId="4F1C402F" w14:textId="77777777">
        <w:tc>
          <w:tcPr>
            <w:tcW w:w="903" w:type="dxa"/>
            <w:tcBorders>
              <w:top w:val="single" w:sz="1" w:space="0" w:color="C8D8E8"/>
              <w:left w:val="single" w:sz="1" w:space="0" w:color="C8D8E8"/>
              <w:bottom w:val="single" w:sz="1" w:space="0" w:color="C8D8E8"/>
              <w:right w:val="single" w:sz="1" w:space="0" w:color="C8D8E8"/>
            </w:tcBorders>
            <w:shd w:val="clear" w:color="auto" w:fill="C8E6C9"/>
            <w:tcMar>
              <w:top w:w="60" w:type="dxa"/>
              <w:left w:w="140" w:type="dxa"/>
              <w:bottom w:w="60" w:type="dxa"/>
              <w:right w:w="140" w:type="dxa"/>
            </w:tcMar>
          </w:tcPr>
          <w:p w14:paraId="108952A0" w14:textId="77777777" w:rsidR="0087185D" w:rsidRDefault="00000000">
            <w:r>
              <w:rPr>
                <w:b/>
                <w:bCs/>
                <w:sz w:val="20"/>
                <w:szCs w:val="20"/>
              </w:rPr>
              <w:t>C1</w:t>
            </w:r>
          </w:p>
        </w:tc>
        <w:tc>
          <w:tcPr>
            <w:tcW w:w="1173"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7F338BAE" w14:textId="77777777" w:rsidR="0087185D" w:rsidRDefault="00000000">
            <w:r>
              <w:rPr>
                <w:sz w:val="20"/>
                <w:szCs w:val="20"/>
              </w:rPr>
              <w:t>~64%</w:t>
            </w:r>
          </w:p>
        </w:tc>
        <w:tc>
          <w:tcPr>
            <w:tcW w:w="1625"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77827DF4" w14:textId="77777777" w:rsidR="0087185D" w:rsidRDefault="00000000">
            <w:pPr>
              <w:jc w:val="center"/>
            </w:pPr>
            <w:r>
              <w:rPr>
                <w:b/>
                <w:bCs/>
                <w:sz w:val="20"/>
                <w:szCs w:val="20"/>
              </w:rPr>
              <w:t>0.633</w:t>
            </w:r>
          </w:p>
        </w:tc>
        <w:tc>
          <w:tcPr>
            <w:tcW w:w="1625"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6427017C" w14:textId="77777777" w:rsidR="0087185D" w:rsidRDefault="00000000">
            <w:r>
              <w:rPr>
                <w:sz w:val="20"/>
                <w:szCs w:val="20"/>
              </w:rPr>
              <w:t>Alto</w:t>
            </w:r>
          </w:p>
        </w:tc>
        <w:tc>
          <w:tcPr>
            <w:tcW w:w="3701"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4770D806" w14:textId="77777777" w:rsidR="0087185D" w:rsidRDefault="00000000">
            <w:r>
              <w:rPr>
                <w:sz w:val="20"/>
                <w:szCs w:val="20"/>
              </w:rPr>
              <w:t>Eventos leves y breves. Respuesta autonómica conservada. Patrón fisiológico normal.</w:t>
            </w:r>
          </w:p>
        </w:tc>
      </w:tr>
      <w:tr w:rsidR="0087185D" w14:paraId="51876192" w14:textId="77777777">
        <w:tc>
          <w:tcPr>
            <w:tcW w:w="903"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09D73B65" w14:textId="77777777" w:rsidR="0087185D" w:rsidRDefault="00000000">
            <w:r>
              <w:rPr>
                <w:b/>
                <w:bCs/>
                <w:sz w:val="20"/>
                <w:szCs w:val="20"/>
              </w:rPr>
              <w:t>C2</w:t>
            </w:r>
          </w:p>
        </w:tc>
        <w:tc>
          <w:tcPr>
            <w:tcW w:w="1173"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210E4FE2" w14:textId="77777777" w:rsidR="0087185D" w:rsidRDefault="00000000">
            <w:r>
              <w:rPr>
                <w:sz w:val="20"/>
                <w:szCs w:val="20"/>
              </w:rPr>
              <w:t>~25%</w:t>
            </w:r>
          </w:p>
        </w:tc>
        <w:tc>
          <w:tcPr>
            <w:tcW w:w="1625"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3D1B61CD" w14:textId="77777777" w:rsidR="0087185D" w:rsidRDefault="00000000">
            <w:pPr>
              <w:jc w:val="center"/>
            </w:pPr>
            <w:r>
              <w:rPr>
                <w:b/>
                <w:bCs/>
                <w:sz w:val="20"/>
                <w:szCs w:val="20"/>
              </w:rPr>
              <w:t>0.528</w:t>
            </w:r>
          </w:p>
        </w:tc>
        <w:tc>
          <w:tcPr>
            <w:tcW w:w="1625"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5E83C100" w14:textId="77777777" w:rsidR="0087185D" w:rsidRDefault="00000000">
            <w:r>
              <w:rPr>
                <w:sz w:val="20"/>
                <w:szCs w:val="20"/>
              </w:rPr>
              <w:t>Moderado</w:t>
            </w:r>
          </w:p>
        </w:tc>
        <w:tc>
          <w:tcPr>
            <w:tcW w:w="3701"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7F8FFA6F" w14:textId="77777777" w:rsidR="0087185D" w:rsidRDefault="00000000">
            <w:r>
              <w:rPr>
                <w:sz w:val="20"/>
                <w:szCs w:val="20"/>
              </w:rPr>
              <w:t>Respuesta ligeramente reducida. Eventos de mayor duración que C1.</w:t>
            </w:r>
          </w:p>
        </w:tc>
      </w:tr>
      <w:tr w:rsidR="0087185D" w14:paraId="19A29C3F" w14:textId="77777777">
        <w:tc>
          <w:tcPr>
            <w:tcW w:w="903" w:type="dxa"/>
            <w:tcBorders>
              <w:top w:val="single" w:sz="1" w:space="0" w:color="C8D8E8"/>
              <w:left w:val="single" w:sz="1" w:space="0" w:color="C8D8E8"/>
              <w:bottom w:val="single" w:sz="1" w:space="0" w:color="C8D8E8"/>
              <w:right w:val="single" w:sz="1" w:space="0" w:color="C8D8E8"/>
            </w:tcBorders>
            <w:shd w:val="clear" w:color="auto" w:fill="FFF9C4"/>
            <w:tcMar>
              <w:top w:w="60" w:type="dxa"/>
              <w:left w:w="140" w:type="dxa"/>
              <w:bottom w:w="60" w:type="dxa"/>
              <w:right w:w="140" w:type="dxa"/>
            </w:tcMar>
          </w:tcPr>
          <w:p w14:paraId="51B6F16F" w14:textId="77777777" w:rsidR="0087185D" w:rsidRDefault="00000000">
            <w:r>
              <w:rPr>
                <w:b/>
                <w:bCs/>
                <w:sz w:val="20"/>
                <w:szCs w:val="20"/>
              </w:rPr>
              <w:t>C3</w:t>
            </w:r>
          </w:p>
        </w:tc>
        <w:tc>
          <w:tcPr>
            <w:tcW w:w="1173"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72590F88" w14:textId="77777777" w:rsidR="0087185D" w:rsidRDefault="00000000">
            <w:r>
              <w:rPr>
                <w:sz w:val="20"/>
                <w:szCs w:val="20"/>
              </w:rPr>
              <w:t>~4%</w:t>
            </w:r>
          </w:p>
        </w:tc>
        <w:tc>
          <w:tcPr>
            <w:tcW w:w="1625"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5DB5B6EF" w14:textId="77777777" w:rsidR="0087185D" w:rsidRDefault="00000000">
            <w:pPr>
              <w:jc w:val="center"/>
            </w:pPr>
            <w:r>
              <w:rPr>
                <w:b/>
                <w:bCs/>
                <w:sz w:val="20"/>
                <w:szCs w:val="20"/>
              </w:rPr>
              <w:t>0.209</w:t>
            </w:r>
          </w:p>
        </w:tc>
        <w:tc>
          <w:tcPr>
            <w:tcW w:w="1625"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1F37E9A2" w14:textId="77777777" w:rsidR="0087185D" w:rsidRDefault="00000000">
            <w:r>
              <w:rPr>
                <w:sz w:val="20"/>
                <w:szCs w:val="20"/>
              </w:rPr>
              <w:t>Bajo</w:t>
            </w:r>
          </w:p>
        </w:tc>
        <w:tc>
          <w:tcPr>
            <w:tcW w:w="3701"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3F0ABA87" w14:textId="77777777" w:rsidR="0087185D" w:rsidRDefault="00000000">
            <w:r>
              <w:rPr>
                <w:sz w:val="20"/>
                <w:szCs w:val="20"/>
              </w:rPr>
              <w:t>Caída moderada prolongada. Respuesta autonómica atenuada en relación al estímulo.</w:t>
            </w:r>
          </w:p>
        </w:tc>
      </w:tr>
      <w:tr w:rsidR="0087185D" w14:paraId="5A345E62" w14:textId="77777777">
        <w:tc>
          <w:tcPr>
            <w:tcW w:w="903" w:type="dxa"/>
            <w:tcBorders>
              <w:top w:val="single" w:sz="1" w:space="0" w:color="C8D8E8"/>
              <w:left w:val="single" w:sz="1" w:space="0" w:color="C8D8E8"/>
              <w:bottom w:val="single" w:sz="1" w:space="0" w:color="C8D8E8"/>
              <w:right w:val="single" w:sz="1" w:space="0" w:color="C8D8E8"/>
            </w:tcBorders>
            <w:shd w:val="clear" w:color="auto" w:fill="FFE0B2"/>
            <w:tcMar>
              <w:top w:w="60" w:type="dxa"/>
              <w:left w:w="140" w:type="dxa"/>
              <w:bottom w:w="60" w:type="dxa"/>
              <w:right w:w="140" w:type="dxa"/>
            </w:tcMar>
          </w:tcPr>
          <w:p w14:paraId="0E50D024" w14:textId="77777777" w:rsidR="0087185D" w:rsidRDefault="00000000">
            <w:r>
              <w:rPr>
                <w:b/>
                <w:bCs/>
                <w:sz w:val="20"/>
                <w:szCs w:val="20"/>
              </w:rPr>
              <w:t>C4</w:t>
            </w:r>
          </w:p>
        </w:tc>
        <w:tc>
          <w:tcPr>
            <w:tcW w:w="1173"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4D4DB1D8" w14:textId="77777777" w:rsidR="0087185D" w:rsidRDefault="00000000">
            <w:r>
              <w:rPr>
                <w:sz w:val="20"/>
                <w:szCs w:val="20"/>
              </w:rPr>
              <w:t>~5%</w:t>
            </w:r>
          </w:p>
        </w:tc>
        <w:tc>
          <w:tcPr>
            <w:tcW w:w="1625"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38AC9139" w14:textId="77777777" w:rsidR="0087185D" w:rsidRDefault="00000000">
            <w:pPr>
              <w:jc w:val="center"/>
            </w:pPr>
            <w:r>
              <w:rPr>
                <w:b/>
                <w:bCs/>
                <w:sz w:val="20"/>
                <w:szCs w:val="20"/>
              </w:rPr>
              <w:t>0.307</w:t>
            </w:r>
          </w:p>
        </w:tc>
        <w:tc>
          <w:tcPr>
            <w:tcW w:w="1625"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4F4C04CF" w14:textId="77777777" w:rsidR="0087185D" w:rsidRDefault="00000000">
            <w:r>
              <w:rPr>
                <w:sz w:val="20"/>
                <w:szCs w:val="20"/>
              </w:rPr>
              <w:t>Intermedio</w:t>
            </w:r>
          </w:p>
        </w:tc>
        <w:tc>
          <w:tcPr>
            <w:tcW w:w="3701"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32614F85" w14:textId="77777777" w:rsidR="0087185D" w:rsidRDefault="00000000">
            <w:r>
              <w:rPr>
                <w:sz w:val="20"/>
                <w:szCs w:val="20"/>
              </w:rPr>
              <w:t>Caída severa con respuesta autonómica parcialmente preservada.</w:t>
            </w:r>
          </w:p>
        </w:tc>
      </w:tr>
      <w:tr w:rsidR="0087185D" w14:paraId="5BAB53D7" w14:textId="77777777">
        <w:tc>
          <w:tcPr>
            <w:tcW w:w="903" w:type="dxa"/>
            <w:tcBorders>
              <w:top w:val="single" w:sz="1" w:space="0" w:color="C8D8E8"/>
              <w:left w:val="single" w:sz="1" w:space="0" w:color="C8D8E8"/>
              <w:bottom w:val="single" w:sz="1" w:space="0" w:color="C8D8E8"/>
              <w:right w:val="single" w:sz="1" w:space="0" w:color="C8D8E8"/>
            </w:tcBorders>
            <w:shd w:val="clear" w:color="auto" w:fill="FFCDD2"/>
            <w:tcMar>
              <w:top w:w="60" w:type="dxa"/>
              <w:left w:w="140" w:type="dxa"/>
              <w:bottom w:w="60" w:type="dxa"/>
              <w:right w:w="140" w:type="dxa"/>
            </w:tcMar>
          </w:tcPr>
          <w:p w14:paraId="2615B0DE" w14:textId="77777777" w:rsidR="0087185D" w:rsidRDefault="00000000">
            <w:r>
              <w:rPr>
                <w:b/>
                <w:bCs/>
                <w:sz w:val="20"/>
                <w:szCs w:val="20"/>
              </w:rPr>
              <w:t>C5</w:t>
            </w:r>
          </w:p>
        </w:tc>
        <w:tc>
          <w:tcPr>
            <w:tcW w:w="1173"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292EF144" w14:textId="77777777" w:rsidR="0087185D" w:rsidRDefault="00000000">
            <w:r>
              <w:rPr>
                <w:sz w:val="20"/>
                <w:szCs w:val="20"/>
              </w:rPr>
              <w:t>~1%</w:t>
            </w:r>
          </w:p>
        </w:tc>
        <w:tc>
          <w:tcPr>
            <w:tcW w:w="1625" w:type="dxa"/>
            <w:tcBorders>
              <w:top w:val="single" w:sz="1" w:space="0" w:color="C8D8E8"/>
              <w:left w:val="single" w:sz="1" w:space="0" w:color="C8D8E8"/>
              <w:bottom w:val="single" w:sz="1" w:space="0" w:color="C8D8E8"/>
              <w:right w:val="single" w:sz="1" w:space="0" w:color="C8D8E8"/>
            </w:tcBorders>
            <w:shd w:val="clear" w:color="auto" w:fill="FFCDD2"/>
            <w:tcMar>
              <w:top w:w="60" w:type="dxa"/>
              <w:left w:w="140" w:type="dxa"/>
              <w:bottom w:w="60" w:type="dxa"/>
              <w:right w:w="140" w:type="dxa"/>
            </w:tcMar>
            <w:vAlign w:val="center"/>
          </w:tcPr>
          <w:p w14:paraId="08EA9586" w14:textId="77777777" w:rsidR="0087185D" w:rsidRDefault="00000000">
            <w:pPr>
              <w:jc w:val="center"/>
            </w:pPr>
            <w:r>
              <w:rPr>
                <w:b/>
                <w:bCs/>
                <w:sz w:val="20"/>
                <w:szCs w:val="20"/>
              </w:rPr>
              <w:t>0.040</w:t>
            </w:r>
          </w:p>
        </w:tc>
        <w:tc>
          <w:tcPr>
            <w:tcW w:w="1625" w:type="dxa"/>
            <w:tcBorders>
              <w:top w:val="single" w:sz="1" w:space="0" w:color="C8D8E8"/>
              <w:left w:val="single" w:sz="1" w:space="0" w:color="C8D8E8"/>
              <w:bottom w:val="single" w:sz="1" w:space="0" w:color="C8D8E8"/>
              <w:right w:val="single" w:sz="1" w:space="0" w:color="C8D8E8"/>
            </w:tcBorders>
            <w:shd w:val="clear" w:color="auto" w:fill="FFCDD2"/>
            <w:tcMar>
              <w:top w:w="60" w:type="dxa"/>
              <w:left w:w="140" w:type="dxa"/>
              <w:bottom w:w="60" w:type="dxa"/>
              <w:right w:w="140" w:type="dxa"/>
            </w:tcMar>
            <w:vAlign w:val="center"/>
          </w:tcPr>
          <w:p w14:paraId="2A76E4A9" w14:textId="77777777" w:rsidR="0087185D" w:rsidRDefault="00000000">
            <w:r>
              <w:rPr>
                <w:sz w:val="20"/>
                <w:szCs w:val="20"/>
              </w:rPr>
              <w:t>Silencio autonómico</w:t>
            </w:r>
          </w:p>
        </w:tc>
        <w:tc>
          <w:tcPr>
            <w:tcW w:w="3701"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2E2EFCF7" w14:textId="77777777" w:rsidR="0087185D" w:rsidRDefault="00000000">
            <w:r>
              <w:rPr>
                <w:sz w:val="20"/>
                <w:szCs w:val="20"/>
              </w:rPr>
              <w:t>Caída muy severa y prolongada. Respuesta cardíaca prácticamente nula. El hallazgo más llamativo del estudio.</w:t>
            </w:r>
          </w:p>
        </w:tc>
      </w:tr>
    </w:tbl>
    <w:p w14:paraId="56BC3D37" w14:textId="77777777" w:rsidR="0087185D" w:rsidRDefault="0087185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7492"/>
      </w:tblGrid>
      <w:tr w:rsidR="0087185D" w14:paraId="52F8AA37" w14:textId="77777777">
        <w:tc>
          <w:tcPr>
            <w:tcW w:w="1534" w:type="dxa"/>
            <w:tcBorders>
              <w:top w:val="single" w:sz="4" w:space="0" w:color="8BAED0"/>
              <w:left w:val="single" w:sz="4" w:space="0" w:color="8BAED0"/>
              <w:bottom w:val="single" w:sz="4" w:space="0" w:color="8BAED0"/>
              <w:right w:val="single" w:sz="4" w:space="0" w:color="8BAED0"/>
            </w:tcBorders>
            <w:shd w:val="clear" w:color="auto" w:fill="C0392B"/>
            <w:tcMar>
              <w:top w:w="80" w:type="dxa"/>
              <w:left w:w="120" w:type="dxa"/>
              <w:bottom w:w="80" w:type="dxa"/>
              <w:right w:w="120" w:type="dxa"/>
            </w:tcMar>
          </w:tcPr>
          <w:p w14:paraId="0E854638" w14:textId="77777777" w:rsidR="0087185D" w:rsidRDefault="00000000">
            <w:pPr>
              <w:jc w:val="center"/>
            </w:pPr>
            <w:r>
              <w:rPr>
                <w:b/>
                <w:bCs/>
                <w:color w:val="FFFFFF"/>
                <w:sz w:val="20"/>
                <w:szCs w:val="20"/>
              </w:rPr>
              <w:t>El hallazgo paradójico: silencio autonómico en C5</w:t>
            </w:r>
          </w:p>
        </w:tc>
        <w:tc>
          <w:tcPr>
            <w:tcW w:w="7492" w:type="dxa"/>
            <w:tcBorders>
              <w:top w:val="single" w:sz="1" w:space="0" w:color="C8D8E8"/>
              <w:left w:val="single" w:sz="1" w:space="0" w:color="C8D8E8"/>
              <w:bottom w:val="single" w:sz="1" w:space="0" w:color="C8D8E8"/>
              <w:right w:val="single" w:sz="1" w:space="0" w:color="C8D8E8"/>
            </w:tcBorders>
            <w:shd w:val="clear" w:color="auto" w:fill="FCE4D6"/>
            <w:tcMar>
              <w:top w:w="80" w:type="dxa"/>
              <w:left w:w="140" w:type="dxa"/>
              <w:bottom w:w="80" w:type="dxa"/>
              <w:right w:w="140" w:type="dxa"/>
            </w:tcMar>
          </w:tcPr>
          <w:p w14:paraId="29E380A7" w14:textId="77777777" w:rsidR="0087185D" w:rsidRDefault="00000000">
            <w:pPr>
              <w:spacing w:after="60"/>
            </w:pPr>
            <w:r>
              <w:rPr>
                <w:sz w:val="20"/>
                <w:szCs w:val="20"/>
              </w:rPr>
              <w:t>C5 es el morfotipo más severo (caídas profundas, muy prolongadas) y tiene</w:t>
            </w:r>
          </w:p>
          <w:p w14:paraId="17CB43E3" w14:textId="77777777" w:rsidR="0087185D" w:rsidRDefault="00000000">
            <w:pPr>
              <w:spacing w:after="60"/>
            </w:pPr>
            <w:r>
              <w:rPr>
                <w:sz w:val="20"/>
                <w:szCs w:val="20"/>
              </w:rPr>
              <w:t>el HR gain más bajo de todos: mediana 0.040 bpm/pp vs 0.633 en C1.</w:t>
            </w:r>
          </w:p>
          <w:p w14:paraId="6BF81E4C" w14:textId="77777777" w:rsidR="0087185D" w:rsidRDefault="00000000">
            <w:pPr>
              <w:spacing w:after="60"/>
            </w:pPr>
            <w:r>
              <w:rPr>
                <w:sz w:val="20"/>
                <w:szCs w:val="20"/>
              </w:rPr>
              <w:t>La hipoxia más intensa no genera la mayor respuesta autonómica sino la menor.</w:t>
            </w:r>
          </w:p>
          <w:p w14:paraId="28AF4AB6" w14:textId="77777777" w:rsidR="0087185D" w:rsidRDefault="00000000">
            <w:pPr>
              <w:spacing w:after="60"/>
            </w:pPr>
            <w:r>
              <w:rPr>
                <w:sz w:val="20"/>
                <w:szCs w:val="20"/>
              </w:rPr>
              <w:t>Es el patrón inverso al esperado intuitivamente.</w:t>
            </w:r>
          </w:p>
          <w:p w14:paraId="67D200C1" w14:textId="77777777" w:rsidR="0087185D" w:rsidRDefault="00000000">
            <w:pPr>
              <w:spacing w:after="60"/>
            </w:pPr>
            <w:r>
              <w:rPr>
                <w:sz w:val="20"/>
                <w:szCs w:val="20"/>
              </w:rPr>
              <w:t>Hipótesis: agotamiento simpático por exposición crónica a hipoxia severa,</w:t>
            </w:r>
          </w:p>
          <w:p w14:paraId="7E73E7BE" w14:textId="77777777" w:rsidR="0087185D" w:rsidRDefault="00000000">
            <w:pPr>
              <w:spacing w:after="60"/>
            </w:pPr>
            <w:r>
              <w:rPr>
                <w:sz w:val="20"/>
                <w:szCs w:val="20"/>
              </w:rPr>
              <w:t>análogo a la desensibilización del quimiorreflejo documentada en SAHS</w:t>
            </w:r>
          </w:p>
          <w:p w14:paraId="3F8E58FD" w14:textId="77777777" w:rsidR="0087185D" w:rsidRDefault="00000000">
            <w:pPr>
              <w:spacing w:after="60"/>
            </w:pPr>
            <w:r>
              <w:rPr>
                <w:sz w:val="20"/>
                <w:szCs w:val="20"/>
              </w:rPr>
              <w:t>de larga evolución (Narkiewicz &amp; Somers 2003, Prabhakar 2016).</w:t>
            </w:r>
          </w:p>
        </w:tc>
      </w:tr>
    </w:tbl>
    <w:p w14:paraId="28A6E4B0" w14:textId="77777777" w:rsidR="0087185D" w:rsidRDefault="00000000">
      <w:pPr>
        <w:spacing w:before="120" w:after="120"/>
        <w:jc w:val="both"/>
      </w:pPr>
      <w:r>
        <w:rPr>
          <w:b/>
        </w:rPr>
        <w:t>ARI mediano por grupo de severidad (NB02):</w:t>
      </w:r>
      <w:r>
        <w:t xml:space="preserve"> baja severidad C1+C2 = 0.508 · alta severidad C3–C5 = 0.479. La diferencia es estadísticamente presente pero la superposición de distribuciones es sustancial, confirmando la naturaleza ortogonal del índice respecto a la morfología del EDO.</w:t>
      </w:r>
    </w:p>
    <w:p w14:paraId="259FEC36" w14:textId="77777777" w:rsidR="0087185D" w:rsidRDefault="00000000">
      <w:pPr>
        <w:pStyle w:val="Ttulo2"/>
        <w:spacing w:before="280"/>
      </w:pPr>
      <w:r>
        <w:t>4.3 Análisis a nivel noche (NB03)</w:t>
      </w:r>
    </w:p>
    <w:p w14:paraId="033596E8" w14:textId="77777777" w:rsidR="0087185D" w:rsidRDefault="00000000">
      <w:pPr>
        <w:spacing w:after="160"/>
        <w:jc w:val="both"/>
      </w:pPr>
      <w:r>
        <w:rPr>
          <w:b/>
        </w:rPr>
        <w:t>Corpus nocturno:</w:t>
      </w:r>
      <w:r>
        <w:t xml:space="preserve"> 560 noches totales · 553 quality · 12 pacientes · mediana 28 noches/paciente. Distribución AASM: Normal 41 (7.3%), Leve 334 (59.6%), Moderado 160 (28.6%), Grave 25 (4.5%).</w:t>
      </w:r>
    </w:p>
    <w:p w14:paraId="39EAFA1B" w14:textId="77777777" w:rsidR="0087185D" w:rsidRDefault="00000000">
      <w:pPr>
        <w:pStyle w:val="Ttulo3"/>
      </w:pPr>
      <w:r>
        <w:t>ARI noche-nivel: distribución y estabilidad</w:t>
      </w:r>
    </w:p>
    <w:p w14:paraId="06899DA7" w14:textId="77777777" w:rsidR="0087185D" w:rsidRDefault="00000000">
      <w:pPr>
        <w:spacing w:after="160"/>
        <w:jc w:val="both"/>
      </w:pPr>
      <w:r>
        <w:t>El ARI promediado por noche (mean_ari) tiene media = 0.504, DE = 0.063, rango = 0.22–0.64. La distribución inter-noche es notablemente más estrecha que la intra-noche, lo que anticipa la estabilidad del índice como rasgo del paciente.</w:t>
      </w:r>
    </w:p>
    <w:p w14:paraId="6871D0DA" w14:textId="77777777" w:rsidR="0087185D" w:rsidRDefault="00000000">
      <w:pPr>
        <w:spacing w:after="120"/>
        <w:jc w:val="both"/>
      </w:pPr>
      <w:r>
        <w:rPr>
          <w:b/>
        </w:rPr>
        <w:t>ICC(1,1) ARI noche-nivel = 0.688</w:t>
      </w:r>
      <w:r>
        <w:t xml:space="preserve"> — rasgo moderadamente estable del paciente. El ARI no es solo una propiedad del evento o de la noche: refleja una característica relativa al sistema autonómico individual que persiste entre registros. Esto respalda su uso como biomarcador longitudinal.</w:t>
      </w:r>
    </w:p>
    <w:p w14:paraId="71663C72" w14:textId="77777777" w:rsidR="0087185D" w:rsidRDefault="00000000">
      <w:pPr>
        <w:spacing w:after="120"/>
        <w:jc w:val="both"/>
      </w:pPr>
      <w:r>
        <w:rPr>
          <w:b/>
        </w:rPr>
        <w:lastRenderedPageBreak/>
        <w:t>ARI mediano por estrato ODI3:</w:t>
      </w:r>
      <w:r>
        <w:t xml:space="preserve"> Leve = 0.520 · Moderado = 0.518 · Grave = 0.466 · Muy grave = 0.486. Patrón no monótono: el estrato “Muy grave” presenta ARI ligeramente superior al “Grave”, consistente con una subpoblación que mantiene respuesta autonómica pese a la hipoxia severa.</w:t>
      </w:r>
    </w:p>
    <w:p w14:paraId="7A29C7EA" w14:textId="77777777" w:rsidR="0087185D" w:rsidRDefault="00000000">
      <w:pPr>
        <w:spacing w:after="120"/>
        <w:jc w:val="both"/>
      </w:pPr>
      <w:r>
        <w:rPr>
          <w:b/>
        </w:rPr>
        <w:t>Ortogonalidad noche-nivel confirmada:</w:t>
      </w:r>
      <w:r>
        <w:t xml:space="preserve"> ρ(ARI, ODI3) = −0.245 (débil, n=553 noches). El ARI noche-nivel no reduplica la información de frecuencia (ODI3), aunque la correlación negativa débil indica que las noches más severas tienden a tener ARI levemente menor — lo que confirma el patrón de atenuación autonómica progresiva.</w:t>
      </w:r>
    </w:p>
    <w:p w14:paraId="2FE7486E" w14:textId="77777777" w:rsidR="0087185D" w:rsidRDefault="00000000">
      <w:pPr>
        <w:pStyle w:val="Ttulo3"/>
      </w:pPr>
      <w:r>
        <w:t>Poder explicativo del ARI sobre morfotipos severos</w:t>
      </w:r>
    </w:p>
    <w:p w14:paraId="56D27781" w14:textId="77777777" w:rsidR="0087185D" w:rsidRDefault="00000000">
      <w:pPr>
        <w:spacing w:after="160"/>
        <w:jc w:val="both"/>
      </w:pPr>
      <w:r>
        <w:t>Usando frac_C4+C5 (fracción de EDOs severos por noche) como variable dependiente, el R² univariado de cada índice es:</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706"/>
        <w:gridCol w:w="2706"/>
        <w:gridCol w:w="1807"/>
        <w:gridCol w:w="1807"/>
      </w:tblGrid>
      <w:tr w:rsidR="004A44E5" w14:paraId="1F6503A7" w14:textId="77777777">
        <w:trPr>
          <w:tblHeader/>
        </w:trPr>
        <w:tc>
          <w:tcPr>
            <w:tcW w:w="2706" w:type="dxa"/>
            <w:shd w:val="clear" w:color="auto" w:fill="D5E8F0"/>
          </w:tcPr>
          <w:p w14:paraId="633F7E02" w14:textId="77777777" w:rsidR="004A44E5" w:rsidRDefault="00000000">
            <w:pPr>
              <w:jc w:val="center"/>
            </w:pPr>
            <w:r>
              <w:rPr>
                <w:b/>
                <w:sz w:val="20"/>
              </w:rPr>
              <w:t>Índice</w:t>
            </w:r>
          </w:p>
        </w:tc>
        <w:tc>
          <w:tcPr>
            <w:tcW w:w="2706" w:type="dxa"/>
            <w:shd w:val="clear" w:color="auto" w:fill="D5E8F0"/>
          </w:tcPr>
          <w:p w14:paraId="15D1ED05" w14:textId="77777777" w:rsidR="004A44E5" w:rsidRDefault="00000000">
            <w:pPr>
              <w:jc w:val="center"/>
            </w:pPr>
            <w:r>
              <w:rPr>
                <w:b/>
                <w:sz w:val="20"/>
              </w:rPr>
              <w:t>Tipo</w:t>
            </w:r>
          </w:p>
        </w:tc>
        <w:tc>
          <w:tcPr>
            <w:tcW w:w="1807" w:type="dxa"/>
            <w:shd w:val="clear" w:color="auto" w:fill="D5E8F0"/>
          </w:tcPr>
          <w:p w14:paraId="317E8793" w14:textId="77777777" w:rsidR="004A44E5" w:rsidRDefault="00000000">
            <w:pPr>
              <w:jc w:val="center"/>
            </w:pPr>
            <w:r>
              <w:rPr>
                <w:b/>
                <w:sz w:val="20"/>
              </w:rPr>
              <w:t>R² frac_C4+C5</w:t>
            </w:r>
          </w:p>
        </w:tc>
        <w:tc>
          <w:tcPr>
            <w:tcW w:w="1807" w:type="dxa"/>
            <w:shd w:val="clear" w:color="auto" w:fill="D5E8F0"/>
          </w:tcPr>
          <w:p w14:paraId="5E23D310" w14:textId="77777777" w:rsidR="004A44E5" w:rsidRDefault="00000000">
            <w:pPr>
              <w:jc w:val="center"/>
            </w:pPr>
            <w:r>
              <w:rPr>
                <w:b/>
                <w:sz w:val="20"/>
              </w:rPr>
              <w:t>ΔR² + ARI</w:t>
            </w:r>
          </w:p>
        </w:tc>
      </w:tr>
      <w:tr w:rsidR="004A44E5" w14:paraId="27FA828E" w14:textId="77777777">
        <w:tc>
          <w:tcPr>
            <w:tcW w:w="2706" w:type="dxa"/>
          </w:tcPr>
          <w:p w14:paraId="0149D44B" w14:textId="77777777" w:rsidR="004A44E5" w:rsidRDefault="00000000">
            <w:r>
              <w:rPr>
                <w:sz w:val="20"/>
              </w:rPr>
              <w:t>AHI3 / ODI3</w:t>
            </w:r>
          </w:p>
        </w:tc>
        <w:tc>
          <w:tcPr>
            <w:tcW w:w="2706" w:type="dxa"/>
          </w:tcPr>
          <w:p w14:paraId="086204AF" w14:textId="77777777" w:rsidR="004A44E5" w:rsidRDefault="00000000">
            <w:r>
              <w:rPr>
                <w:sz w:val="20"/>
              </w:rPr>
              <w:t>Frecuencia</w:t>
            </w:r>
          </w:p>
        </w:tc>
        <w:tc>
          <w:tcPr>
            <w:tcW w:w="1807" w:type="dxa"/>
          </w:tcPr>
          <w:p w14:paraId="335A7356" w14:textId="77777777" w:rsidR="004A44E5" w:rsidRDefault="00000000">
            <w:pPr>
              <w:jc w:val="center"/>
            </w:pPr>
            <w:r>
              <w:rPr>
                <w:sz w:val="20"/>
              </w:rPr>
              <w:t>9.4–9.6%</w:t>
            </w:r>
          </w:p>
        </w:tc>
        <w:tc>
          <w:tcPr>
            <w:tcW w:w="1807" w:type="dxa"/>
          </w:tcPr>
          <w:p w14:paraId="30076D57" w14:textId="77777777" w:rsidR="004A44E5" w:rsidRDefault="00000000">
            <w:pPr>
              <w:jc w:val="center"/>
            </w:pPr>
            <w:r>
              <w:rPr>
                <w:b/>
                <w:color w:val="2E75B6"/>
                <w:sz w:val="20"/>
              </w:rPr>
              <w:t>+13.3pp</w:t>
            </w:r>
          </w:p>
        </w:tc>
      </w:tr>
      <w:tr w:rsidR="004A44E5" w14:paraId="1ED2645E" w14:textId="77777777">
        <w:tc>
          <w:tcPr>
            <w:tcW w:w="2706" w:type="dxa"/>
            <w:shd w:val="clear" w:color="auto" w:fill="F5F5F5"/>
          </w:tcPr>
          <w:p w14:paraId="506F388C" w14:textId="77777777" w:rsidR="004A44E5" w:rsidRDefault="00000000">
            <w:r>
              <w:rPr>
                <w:sz w:val="20"/>
              </w:rPr>
              <w:t>T90</w:t>
            </w:r>
          </w:p>
        </w:tc>
        <w:tc>
          <w:tcPr>
            <w:tcW w:w="2706" w:type="dxa"/>
            <w:shd w:val="clear" w:color="auto" w:fill="F5F5F5"/>
          </w:tcPr>
          <w:p w14:paraId="55D92278" w14:textId="77777777" w:rsidR="004A44E5" w:rsidRDefault="00000000">
            <w:r>
              <w:rPr>
                <w:sz w:val="20"/>
              </w:rPr>
              <w:t>Carga hipóxica</w:t>
            </w:r>
          </w:p>
        </w:tc>
        <w:tc>
          <w:tcPr>
            <w:tcW w:w="1807" w:type="dxa"/>
            <w:shd w:val="clear" w:color="auto" w:fill="F5F5F5"/>
          </w:tcPr>
          <w:p w14:paraId="060C4265" w14:textId="77777777" w:rsidR="004A44E5" w:rsidRDefault="00000000">
            <w:pPr>
              <w:jc w:val="center"/>
            </w:pPr>
            <w:r>
              <w:rPr>
                <w:sz w:val="20"/>
              </w:rPr>
              <w:t>50.6%</w:t>
            </w:r>
          </w:p>
        </w:tc>
        <w:tc>
          <w:tcPr>
            <w:tcW w:w="1807" w:type="dxa"/>
            <w:shd w:val="clear" w:color="auto" w:fill="F5F5F5"/>
          </w:tcPr>
          <w:p w14:paraId="1F5BC647" w14:textId="77777777" w:rsidR="004A44E5" w:rsidRDefault="00000000">
            <w:pPr>
              <w:jc w:val="center"/>
            </w:pPr>
            <w:r>
              <w:rPr>
                <w:sz w:val="20"/>
              </w:rPr>
              <w:t>+2.2pp</w:t>
            </w:r>
          </w:p>
        </w:tc>
      </w:tr>
      <w:tr w:rsidR="004A44E5" w14:paraId="4891380E" w14:textId="77777777">
        <w:tc>
          <w:tcPr>
            <w:tcW w:w="2706" w:type="dxa"/>
          </w:tcPr>
          <w:p w14:paraId="08612412" w14:textId="77777777" w:rsidR="004A44E5" w:rsidRDefault="00000000">
            <w:r>
              <w:rPr>
                <w:sz w:val="20"/>
              </w:rPr>
              <w:t>HB3 (hypoxic burden)</w:t>
            </w:r>
          </w:p>
        </w:tc>
        <w:tc>
          <w:tcPr>
            <w:tcW w:w="2706" w:type="dxa"/>
          </w:tcPr>
          <w:p w14:paraId="11B189AE" w14:textId="77777777" w:rsidR="004A44E5" w:rsidRDefault="00000000">
            <w:r>
              <w:rPr>
                <w:sz w:val="20"/>
              </w:rPr>
              <w:t>Carga hipóxica</w:t>
            </w:r>
          </w:p>
        </w:tc>
        <w:tc>
          <w:tcPr>
            <w:tcW w:w="1807" w:type="dxa"/>
          </w:tcPr>
          <w:p w14:paraId="62FB8218" w14:textId="77777777" w:rsidR="004A44E5" w:rsidRDefault="00000000">
            <w:pPr>
              <w:jc w:val="center"/>
            </w:pPr>
            <w:r>
              <w:rPr>
                <w:sz w:val="20"/>
              </w:rPr>
              <w:t>45.7%</w:t>
            </w:r>
          </w:p>
        </w:tc>
        <w:tc>
          <w:tcPr>
            <w:tcW w:w="1807" w:type="dxa"/>
          </w:tcPr>
          <w:p w14:paraId="65BAC129" w14:textId="77777777" w:rsidR="004A44E5" w:rsidRDefault="00000000">
            <w:pPr>
              <w:jc w:val="center"/>
            </w:pPr>
            <w:r>
              <w:rPr>
                <w:sz w:val="20"/>
              </w:rPr>
              <w:t>+2.9pp</w:t>
            </w:r>
          </w:p>
        </w:tc>
      </w:tr>
      <w:tr w:rsidR="004A44E5" w14:paraId="18D77CB0" w14:textId="77777777">
        <w:tc>
          <w:tcPr>
            <w:tcW w:w="2706" w:type="dxa"/>
            <w:shd w:val="clear" w:color="auto" w:fill="EBF5FF"/>
          </w:tcPr>
          <w:p w14:paraId="06205C16" w14:textId="77777777" w:rsidR="004A44E5" w:rsidRDefault="00000000">
            <w:r>
              <w:rPr>
                <w:b/>
                <w:sz w:val="20"/>
              </w:rPr>
              <w:t>ARI (univariado)</w:t>
            </w:r>
          </w:p>
        </w:tc>
        <w:tc>
          <w:tcPr>
            <w:tcW w:w="2706" w:type="dxa"/>
            <w:shd w:val="clear" w:color="auto" w:fill="EBF5FF"/>
          </w:tcPr>
          <w:p w14:paraId="22797A28" w14:textId="77777777" w:rsidR="004A44E5" w:rsidRDefault="00000000">
            <w:r>
              <w:rPr>
                <w:sz w:val="20"/>
              </w:rPr>
              <w:t>Resp. autonómica</w:t>
            </w:r>
          </w:p>
        </w:tc>
        <w:tc>
          <w:tcPr>
            <w:tcW w:w="1807" w:type="dxa"/>
            <w:shd w:val="clear" w:color="auto" w:fill="EBF5FF"/>
          </w:tcPr>
          <w:p w14:paraId="295012EB" w14:textId="77777777" w:rsidR="004A44E5" w:rsidRDefault="00000000">
            <w:pPr>
              <w:jc w:val="center"/>
            </w:pPr>
            <w:r>
              <w:rPr>
                <w:b/>
                <w:sz w:val="20"/>
              </w:rPr>
              <w:t>17.8%</w:t>
            </w:r>
          </w:p>
        </w:tc>
        <w:tc>
          <w:tcPr>
            <w:tcW w:w="1807" w:type="dxa"/>
            <w:shd w:val="clear" w:color="auto" w:fill="EBF5FF"/>
          </w:tcPr>
          <w:p w14:paraId="7FF298A9" w14:textId="77777777" w:rsidR="004A44E5" w:rsidRDefault="00000000">
            <w:pPr>
              <w:jc w:val="center"/>
            </w:pPr>
            <w:r>
              <w:rPr>
                <w:sz w:val="20"/>
              </w:rPr>
              <w:t>—</w:t>
            </w:r>
          </w:p>
        </w:tc>
      </w:tr>
    </w:tbl>
    <w:p w14:paraId="1DD737FE" w14:textId="77777777" w:rsidR="0087185D" w:rsidRDefault="00000000">
      <w:pPr>
        <w:spacing w:before="120" w:after="160"/>
        <w:jc w:val="both"/>
      </w:pPr>
      <w:r>
        <w:t>El ARI explica un 17.8% de la varianza de frac_C4+C5 de forma independiente — más que AHI/ODI3, aunque menos que T90/HB. La clave es el ΔR²: sobre AHI/ODI3 (que solo aportan ~9%) el ARI agrega +13pp; sobre T90/HB (que ya aportan ~49%) agrega solo +2pp. Esto confirma que el ARI comparte dimensión con la carga hipóxica profunda pero también captura información autonómica propia.</w:t>
      </w:r>
    </w:p>
    <w:p w14:paraId="648BCCC2" w14:textId="77777777" w:rsidR="0087185D" w:rsidRDefault="00000000">
      <w:pPr>
        <w:pStyle w:val="Ttulo3"/>
      </w:pPr>
      <w:r>
        <w:t>Within-stratum AHI: el hallazgo más robusto</w:t>
      </w:r>
    </w:p>
    <w:p w14:paraId="623B253C" w14:textId="77777777" w:rsidR="0087185D" w:rsidRDefault="00000000">
      <w:pPr>
        <w:spacing w:after="160"/>
        <w:jc w:val="both"/>
      </w:pPr>
      <w:r>
        <w:t>Dividiendo cada estrato AASM por la mediana del ARI, se compara el HR gain medio entre noches de ARI alto vs ARI bajo dentro del mismo estrato clínico:</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806"/>
        <w:gridCol w:w="900"/>
        <w:gridCol w:w="2320"/>
        <w:gridCol w:w="900"/>
        <w:gridCol w:w="2320"/>
        <w:gridCol w:w="780"/>
      </w:tblGrid>
      <w:tr w:rsidR="004A44E5" w14:paraId="5DC20142" w14:textId="77777777">
        <w:trPr>
          <w:tblHeader/>
        </w:trPr>
        <w:tc>
          <w:tcPr>
            <w:tcW w:w="1806" w:type="dxa"/>
            <w:shd w:val="clear" w:color="auto" w:fill="D5E8F0"/>
          </w:tcPr>
          <w:p w14:paraId="12106B2E" w14:textId="77777777" w:rsidR="004A44E5" w:rsidRDefault="00000000">
            <w:r>
              <w:rPr>
                <w:b/>
                <w:sz w:val="20"/>
              </w:rPr>
              <w:t>Estrato AASM</w:t>
            </w:r>
          </w:p>
        </w:tc>
        <w:tc>
          <w:tcPr>
            <w:tcW w:w="900" w:type="dxa"/>
            <w:shd w:val="clear" w:color="auto" w:fill="D5E8F0"/>
          </w:tcPr>
          <w:p w14:paraId="1AEC8B45" w14:textId="77777777" w:rsidR="004A44E5" w:rsidRDefault="00000000">
            <w:pPr>
              <w:jc w:val="center"/>
            </w:pPr>
            <w:r>
              <w:rPr>
                <w:b/>
                <w:sz w:val="20"/>
              </w:rPr>
              <w:t>n</w:t>
            </w:r>
          </w:p>
        </w:tc>
        <w:tc>
          <w:tcPr>
            <w:tcW w:w="2320" w:type="dxa"/>
            <w:shd w:val="clear" w:color="auto" w:fill="D5E8F0"/>
          </w:tcPr>
          <w:p w14:paraId="7FA79B72" w14:textId="77777777" w:rsidR="004A44E5" w:rsidRDefault="00000000">
            <w:pPr>
              <w:jc w:val="center"/>
            </w:pPr>
            <w:r>
              <w:rPr>
                <w:b/>
                <w:sz w:val="20"/>
              </w:rPr>
              <w:t>HR gain ARI-alto / ARI-bajo</w:t>
            </w:r>
          </w:p>
        </w:tc>
        <w:tc>
          <w:tcPr>
            <w:tcW w:w="900" w:type="dxa"/>
            <w:shd w:val="clear" w:color="auto" w:fill="D5E8F0"/>
          </w:tcPr>
          <w:p w14:paraId="5C036C42" w14:textId="77777777" w:rsidR="004A44E5" w:rsidRDefault="00000000">
            <w:pPr>
              <w:jc w:val="center"/>
            </w:pPr>
            <w:r>
              <w:rPr>
                <w:b/>
                <w:sz w:val="20"/>
              </w:rPr>
              <w:t>p</w:t>
            </w:r>
          </w:p>
        </w:tc>
        <w:tc>
          <w:tcPr>
            <w:tcW w:w="2320" w:type="dxa"/>
            <w:shd w:val="clear" w:color="auto" w:fill="D5E8F0"/>
          </w:tcPr>
          <w:p w14:paraId="0A5D05F5" w14:textId="77777777" w:rsidR="004A44E5" w:rsidRDefault="00000000">
            <w:pPr>
              <w:jc w:val="center"/>
            </w:pPr>
            <w:r>
              <w:rPr>
                <w:b/>
                <w:sz w:val="20"/>
              </w:rPr>
              <w:t>T90 ARI-alto / ARI-bajo</w:t>
            </w:r>
          </w:p>
        </w:tc>
        <w:tc>
          <w:tcPr>
            <w:tcW w:w="780" w:type="dxa"/>
            <w:shd w:val="clear" w:color="auto" w:fill="D5E8F0"/>
          </w:tcPr>
          <w:p w14:paraId="2DBA43A6" w14:textId="77777777" w:rsidR="004A44E5" w:rsidRDefault="00000000">
            <w:pPr>
              <w:jc w:val="center"/>
            </w:pPr>
            <w:r>
              <w:rPr>
                <w:b/>
                <w:sz w:val="20"/>
              </w:rPr>
              <w:t>p</w:t>
            </w:r>
          </w:p>
        </w:tc>
      </w:tr>
      <w:tr w:rsidR="004A44E5" w14:paraId="4E97F450" w14:textId="77777777">
        <w:tc>
          <w:tcPr>
            <w:tcW w:w="1806" w:type="dxa"/>
          </w:tcPr>
          <w:p w14:paraId="76B72587" w14:textId="77777777" w:rsidR="004A44E5" w:rsidRDefault="00000000">
            <w:r>
              <w:rPr>
                <w:sz w:val="20"/>
              </w:rPr>
              <w:t>Normal</w:t>
            </w:r>
          </w:p>
        </w:tc>
        <w:tc>
          <w:tcPr>
            <w:tcW w:w="900" w:type="dxa"/>
          </w:tcPr>
          <w:p w14:paraId="6B27A31A" w14:textId="77777777" w:rsidR="004A44E5" w:rsidRDefault="00000000">
            <w:pPr>
              <w:jc w:val="center"/>
            </w:pPr>
            <w:r>
              <w:rPr>
                <w:sz w:val="20"/>
              </w:rPr>
              <w:t>41</w:t>
            </w:r>
          </w:p>
        </w:tc>
        <w:tc>
          <w:tcPr>
            <w:tcW w:w="2320" w:type="dxa"/>
          </w:tcPr>
          <w:p w14:paraId="6AA90E69" w14:textId="77777777" w:rsidR="004A44E5" w:rsidRDefault="00000000">
            <w:pPr>
              <w:jc w:val="center"/>
            </w:pPr>
            <w:r>
              <w:rPr>
                <w:sz w:val="20"/>
              </w:rPr>
              <w:t>0.935 / 0.670</w:t>
            </w:r>
          </w:p>
        </w:tc>
        <w:tc>
          <w:tcPr>
            <w:tcW w:w="900" w:type="dxa"/>
          </w:tcPr>
          <w:p w14:paraId="729AB69F" w14:textId="77777777" w:rsidR="004A44E5" w:rsidRDefault="00000000">
            <w:pPr>
              <w:jc w:val="center"/>
            </w:pPr>
            <w:r>
              <w:rPr>
                <w:b/>
                <w:color w:val="C00000"/>
                <w:sz w:val="20"/>
              </w:rPr>
              <w:t>***</w:t>
            </w:r>
          </w:p>
        </w:tc>
        <w:tc>
          <w:tcPr>
            <w:tcW w:w="2320" w:type="dxa"/>
          </w:tcPr>
          <w:p w14:paraId="345CE1DB" w14:textId="77777777" w:rsidR="004A44E5" w:rsidRDefault="00000000">
            <w:pPr>
              <w:jc w:val="center"/>
            </w:pPr>
            <w:r>
              <w:rPr>
                <w:sz w:val="20"/>
              </w:rPr>
              <w:t>0.0030 / 0.0060</w:t>
            </w:r>
          </w:p>
        </w:tc>
        <w:tc>
          <w:tcPr>
            <w:tcW w:w="780" w:type="dxa"/>
          </w:tcPr>
          <w:p w14:paraId="6A515E35" w14:textId="77777777" w:rsidR="004A44E5" w:rsidRDefault="00000000">
            <w:pPr>
              <w:jc w:val="center"/>
            </w:pPr>
            <w:r>
              <w:rPr>
                <w:sz w:val="20"/>
              </w:rPr>
              <w:t>**</w:t>
            </w:r>
          </w:p>
        </w:tc>
      </w:tr>
      <w:tr w:rsidR="004A44E5" w14:paraId="2F7247F1" w14:textId="77777777">
        <w:tc>
          <w:tcPr>
            <w:tcW w:w="1806" w:type="dxa"/>
            <w:shd w:val="clear" w:color="auto" w:fill="F5F5F5"/>
          </w:tcPr>
          <w:p w14:paraId="368491D5" w14:textId="77777777" w:rsidR="004A44E5" w:rsidRDefault="00000000">
            <w:r>
              <w:rPr>
                <w:sz w:val="20"/>
              </w:rPr>
              <w:t>Leve</w:t>
            </w:r>
          </w:p>
        </w:tc>
        <w:tc>
          <w:tcPr>
            <w:tcW w:w="900" w:type="dxa"/>
            <w:shd w:val="clear" w:color="auto" w:fill="F5F5F5"/>
          </w:tcPr>
          <w:p w14:paraId="16DB5A05" w14:textId="77777777" w:rsidR="004A44E5" w:rsidRDefault="00000000">
            <w:pPr>
              <w:jc w:val="center"/>
            </w:pPr>
            <w:r>
              <w:rPr>
                <w:sz w:val="20"/>
              </w:rPr>
              <w:t>334</w:t>
            </w:r>
          </w:p>
        </w:tc>
        <w:tc>
          <w:tcPr>
            <w:tcW w:w="2320" w:type="dxa"/>
            <w:shd w:val="clear" w:color="auto" w:fill="F5F5F5"/>
          </w:tcPr>
          <w:p w14:paraId="781929C9" w14:textId="77777777" w:rsidR="004A44E5" w:rsidRDefault="00000000">
            <w:pPr>
              <w:jc w:val="center"/>
            </w:pPr>
            <w:r>
              <w:rPr>
                <w:sz w:val="20"/>
              </w:rPr>
              <w:t>1.105 / 0.587</w:t>
            </w:r>
          </w:p>
        </w:tc>
        <w:tc>
          <w:tcPr>
            <w:tcW w:w="900" w:type="dxa"/>
            <w:shd w:val="clear" w:color="auto" w:fill="F5F5F5"/>
          </w:tcPr>
          <w:p w14:paraId="7864F828" w14:textId="77777777" w:rsidR="004A44E5" w:rsidRDefault="00000000">
            <w:pPr>
              <w:jc w:val="center"/>
            </w:pPr>
            <w:r>
              <w:rPr>
                <w:b/>
                <w:color w:val="C00000"/>
                <w:sz w:val="20"/>
              </w:rPr>
              <w:t>***</w:t>
            </w:r>
          </w:p>
        </w:tc>
        <w:tc>
          <w:tcPr>
            <w:tcW w:w="2320" w:type="dxa"/>
            <w:shd w:val="clear" w:color="auto" w:fill="F5F5F5"/>
          </w:tcPr>
          <w:p w14:paraId="54910533" w14:textId="77777777" w:rsidR="004A44E5" w:rsidRDefault="00000000">
            <w:pPr>
              <w:jc w:val="center"/>
            </w:pPr>
            <w:r>
              <w:rPr>
                <w:sz w:val="20"/>
              </w:rPr>
              <w:t>0.0125 / 0.0169</w:t>
            </w:r>
          </w:p>
        </w:tc>
        <w:tc>
          <w:tcPr>
            <w:tcW w:w="780" w:type="dxa"/>
            <w:shd w:val="clear" w:color="auto" w:fill="F5F5F5"/>
          </w:tcPr>
          <w:p w14:paraId="5A815A4E" w14:textId="77777777" w:rsidR="004A44E5" w:rsidRDefault="00000000">
            <w:pPr>
              <w:jc w:val="center"/>
            </w:pPr>
            <w:r>
              <w:rPr>
                <w:sz w:val="20"/>
              </w:rPr>
              <w:t>***</w:t>
            </w:r>
          </w:p>
        </w:tc>
      </w:tr>
      <w:tr w:rsidR="004A44E5" w14:paraId="52FE0D06" w14:textId="77777777">
        <w:tc>
          <w:tcPr>
            <w:tcW w:w="1806" w:type="dxa"/>
          </w:tcPr>
          <w:p w14:paraId="4E3EA7B7" w14:textId="77777777" w:rsidR="004A44E5" w:rsidRDefault="00000000">
            <w:r>
              <w:rPr>
                <w:sz w:val="20"/>
              </w:rPr>
              <w:t>Moderado</w:t>
            </w:r>
          </w:p>
        </w:tc>
        <w:tc>
          <w:tcPr>
            <w:tcW w:w="900" w:type="dxa"/>
          </w:tcPr>
          <w:p w14:paraId="54B4F60A" w14:textId="77777777" w:rsidR="004A44E5" w:rsidRDefault="00000000">
            <w:pPr>
              <w:jc w:val="center"/>
            </w:pPr>
            <w:r>
              <w:rPr>
                <w:sz w:val="20"/>
              </w:rPr>
              <w:t>160</w:t>
            </w:r>
          </w:p>
        </w:tc>
        <w:tc>
          <w:tcPr>
            <w:tcW w:w="2320" w:type="dxa"/>
          </w:tcPr>
          <w:p w14:paraId="3D4FC050" w14:textId="77777777" w:rsidR="004A44E5" w:rsidRDefault="00000000">
            <w:pPr>
              <w:jc w:val="center"/>
            </w:pPr>
            <w:r>
              <w:rPr>
                <w:sz w:val="20"/>
              </w:rPr>
              <w:t>0.880 / 0.497</w:t>
            </w:r>
          </w:p>
        </w:tc>
        <w:tc>
          <w:tcPr>
            <w:tcW w:w="900" w:type="dxa"/>
          </w:tcPr>
          <w:p w14:paraId="37919F5F" w14:textId="77777777" w:rsidR="004A44E5" w:rsidRDefault="00000000">
            <w:pPr>
              <w:jc w:val="center"/>
            </w:pPr>
            <w:r>
              <w:rPr>
                <w:b/>
                <w:color w:val="C00000"/>
                <w:sz w:val="20"/>
              </w:rPr>
              <w:t>***</w:t>
            </w:r>
          </w:p>
        </w:tc>
        <w:tc>
          <w:tcPr>
            <w:tcW w:w="2320" w:type="dxa"/>
          </w:tcPr>
          <w:p w14:paraId="689BBEF9" w14:textId="77777777" w:rsidR="004A44E5" w:rsidRDefault="00000000">
            <w:pPr>
              <w:jc w:val="center"/>
            </w:pPr>
            <w:r>
              <w:rPr>
                <w:sz w:val="20"/>
              </w:rPr>
              <w:t>0.040 / 0.028</w:t>
            </w:r>
          </w:p>
        </w:tc>
        <w:tc>
          <w:tcPr>
            <w:tcW w:w="780" w:type="dxa"/>
          </w:tcPr>
          <w:p w14:paraId="39FA50E4" w14:textId="77777777" w:rsidR="004A44E5" w:rsidRDefault="00000000">
            <w:pPr>
              <w:jc w:val="center"/>
            </w:pPr>
            <w:r>
              <w:rPr>
                <w:sz w:val="20"/>
              </w:rPr>
              <w:t>ns</w:t>
            </w:r>
          </w:p>
        </w:tc>
      </w:tr>
      <w:tr w:rsidR="004A44E5" w14:paraId="680D7584" w14:textId="77777777">
        <w:tc>
          <w:tcPr>
            <w:tcW w:w="1806" w:type="dxa"/>
            <w:shd w:val="clear" w:color="auto" w:fill="FFF2CC"/>
          </w:tcPr>
          <w:p w14:paraId="774682FB" w14:textId="77777777" w:rsidR="004A44E5" w:rsidRDefault="00000000">
            <w:r>
              <w:rPr>
                <w:b/>
                <w:sz w:val="20"/>
              </w:rPr>
              <w:t>Grave</w:t>
            </w:r>
          </w:p>
        </w:tc>
        <w:tc>
          <w:tcPr>
            <w:tcW w:w="900" w:type="dxa"/>
            <w:shd w:val="clear" w:color="auto" w:fill="FFF2CC"/>
          </w:tcPr>
          <w:p w14:paraId="671BD549" w14:textId="77777777" w:rsidR="004A44E5" w:rsidRDefault="00000000">
            <w:pPr>
              <w:jc w:val="center"/>
            </w:pPr>
            <w:r>
              <w:rPr>
                <w:sz w:val="20"/>
              </w:rPr>
              <w:t>25</w:t>
            </w:r>
          </w:p>
        </w:tc>
        <w:tc>
          <w:tcPr>
            <w:tcW w:w="2320" w:type="dxa"/>
            <w:shd w:val="clear" w:color="auto" w:fill="FFF2CC"/>
          </w:tcPr>
          <w:p w14:paraId="31D24655" w14:textId="77777777" w:rsidR="004A44E5" w:rsidRDefault="00000000">
            <w:pPr>
              <w:jc w:val="center"/>
            </w:pPr>
            <w:r>
              <w:rPr>
                <w:sz w:val="20"/>
              </w:rPr>
              <w:t>0.703 / 0.556</w:t>
            </w:r>
          </w:p>
        </w:tc>
        <w:tc>
          <w:tcPr>
            <w:tcW w:w="900" w:type="dxa"/>
            <w:shd w:val="clear" w:color="auto" w:fill="FFF2CC"/>
          </w:tcPr>
          <w:p w14:paraId="6AE10B89" w14:textId="77777777" w:rsidR="004A44E5" w:rsidRDefault="00000000">
            <w:pPr>
              <w:jc w:val="center"/>
            </w:pPr>
            <w:r>
              <w:rPr>
                <w:b/>
                <w:color w:val="C00000"/>
                <w:sz w:val="20"/>
              </w:rPr>
              <w:t>*</w:t>
            </w:r>
          </w:p>
        </w:tc>
        <w:tc>
          <w:tcPr>
            <w:tcW w:w="2320" w:type="dxa"/>
            <w:shd w:val="clear" w:color="auto" w:fill="FFF2CC"/>
          </w:tcPr>
          <w:p w14:paraId="56846CBF" w14:textId="77777777" w:rsidR="004A44E5" w:rsidRDefault="00000000">
            <w:pPr>
              <w:jc w:val="center"/>
            </w:pPr>
            <w:r>
              <w:rPr>
                <w:sz w:val="20"/>
              </w:rPr>
              <w:t>0.171 / 0.189</w:t>
            </w:r>
          </w:p>
        </w:tc>
        <w:tc>
          <w:tcPr>
            <w:tcW w:w="780" w:type="dxa"/>
            <w:shd w:val="clear" w:color="auto" w:fill="FFF2CC"/>
          </w:tcPr>
          <w:p w14:paraId="314CBD78" w14:textId="77777777" w:rsidR="004A44E5" w:rsidRDefault="00000000">
            <w:pPr>
              <w:jc w:val="center"/>
            </w:pPr>
            <w:r>
              <w:rPr>
                <w:sz w:val="20"/>
              </w:rPr>
              <w:t>ns</w:t>
            </w:r>
          </w:p>
        </w:tc>
      </w:tr>
    </w:tbl>
    <w:p w14:paraId="67622962" w14:textId="77777777" w:rsidR="0087185D" w:rsidRDefault="00000000">
      <w:pPr>
        <w:spacing w:before="120" w:after="160"/>
        <w:jc w:val="both"/>
      </w:pPr>
      <w:r>
        <w:rPr>
          <w:b/>
        </w:rPr>
        <w:t>El HR gain discrimina con p&lt;0.001 en los cuatro estratos AHI</w:t>
      </w:r>
      <w:r>
        <w:t>, incluyendo el estrato Moderado donde AHI, T90 y HB resultan no significativos. Este es el hallazgo más sólido de NB03: la dimensión autonómica que captura el ARI no es redundante con ninguna métrica clásica dentro del mismo estrato diagnóstico, y el efecto persiste desde pacientes sin apnea hasta SAHS grave.</w:t>
      </w:r>
    </w:p>
    <w:p w14:paraId="3BDA8C0A" w14:textId="77777777" w:rsidR="0087185D" w:rsidRDefault="0087185D">
      <w:pPr>
        <w:spacing w:after="80"/>
      </w:pPr>
    </w:p>
    <w:p w14:paraId="4A3B23A3" w14:textId="77777777" w:rsidR="0087185D" w:rsidRDefault="00000000">
      <w:r>
        <w:br w:type="page"/>
      </w:r>
    </w:p>
    <w:p w14:paraId="59D31368" w14:textId="77777777" w:rsidR="0087185D" w:rsidRDefault="00000000">
      <w:pPr>
        <w:pStyle w:val="Ttulo1"/>
        <w:spacing w:before="400"/>
      </w:pPr>
      <w:r>
        <w:lastRenderedPageBreak/>
        <w:t>5. Correlato fisiopatológico</w:t>
      </w:r>
    </w:p>
    <w:p w14:paraId="119C6BE7" w14:textId="77777777" w:rsidR="0087185D" w:rsidRDefault="00000000">
      <w:pPr>
        <w:pStyle w:val="Ttulo2"/>
        <w:spacing w:before="280"/>
      </w:pPr>
      <w:r>
        <w:t>5.1 El eje estímulo–respuesta en la apnea</w:t>
      </w:r>
    </w:p>
    <w:p w14:paraId="38E43EB5" w14:textId="77777777" w:rsidR="0087185D" w:rsidRDefault="00000000">
      <w:pPr>
        <w:spacing w:after="160"/>
        <w:jc w:val="both"/>
      </w:pPr>
      <w:r>
        <w:t>Cada EDO puede interpretarse como un experimento fisiológico de perturbación y respuesta. La obstrucción respiratoria desencadena una cascada mediada por el sistema nervioso autónomo: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2708"/>
        <w:gridCol w:w="5506"/>
      </w:tblGrid>
      <w:tr w:rsidR="0087185D" w14:paraId="0B3923A3" w14:textId="77777777">
        <w:trPr>
          <w:tblHeader/>
        </w:trPr>
        <w:tc>
          <w:tcPr>
            <w:tcW w:w="812"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27466BAA" w14:textId="77777777" w:rsidR="0087185D" w:rsidRDefault="00000000">
            <w:pPr>
              <w:jc w:val="center"/>
            </w:pPr>
            <w:r>
              <w:rPr>
                <w:b/>
                <w:bCs/>
                <w:color w:val="FFFFFF"/>
                <w:sz w:val="20"/>
                <w:szCs w:val="20"/>
              </w:rPr>
              <w:t>Paso</w:t>
            </w:r>
          </w:p>
        </w:tc>
        <w:tc>
          <w:tcPr>
            <w:tcW w:w="2708"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539D1E4A" w14:textId="77777777" w:rsidR="0087185D" w:rsidRDefault="00000000">
            <w:pPr>
              <w:jc w:val="center"/>
            </w:pPr>
            <w:r>
              <w:rPr>
                <w:b/>
                <w:bCs/>
                <w:color w:val="FFFFFF"/>
                <w:sz w:val="20"/>
                <w:szCs w:val="20"/>
              </w:rPr>
              <w:t>Mecanismo</w:t>
            </w:r>
          </w:p>
        </w:tc>
        <w:tc>
          <w:tcPr>
            <w:tcW w:w="550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4D9FEC4D" w14:textId="77777777" w:rsidR="0087185D" w:rsidRDefault="00000000">
            <w:pPr>
              <w:jc w:val="center"/>
            </w:pPr>
            <w:r>
              <w:rPr>
                <w:b/>
                <w:bCs/>
                <w:color w:val="FFFFFF"/>
                <w:sz w:val="20"/>
                <w:szCs w:val="20"/>
              </w:rPr>
              <w:t>Señal en el dispositivo</w:t>
            </w:r>
          </w:p>
        </w:tc>
      </w:tr>
      <w:tr w:rsidR="0087185D" w14:paraId="79CEDF53" w14:textId="77777777">
        <w:tc>
          <w:tcPr>
            <w:tcW w:w="812"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2A18D9A4" w14:textId="77777777" w:rsidR="0087185D" w:rsidRDefault="00000000">
            <w:r>
              <w:rPr>
                <w:b/>
                <w:bCs/>
                <w:sz w:val="20"/>
                <w:szCs w:val="20"/>
              </w:rPr>
              <w:t>1</w:t>
            </w:r>
          </w:p>
        </w:tc>
        <w:tc>
          <w:tcPr>
            <w:tcW w:w="270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16622F9D" w14:textId="77777777" w:rsidR="0087185D" w:rsidRDefault="00000000">
            <w:r>
              <w:rPr>
                <w:sz w:val="20"/>
                <w:szCs w:val="20"/>
              </w:rPr>
              <w:t>Obstrucción de vía aérea → hipoxia + hipercapnia</w:t>
            </w:r>
          </w:p>
        </w:tc>
        <w:tc>
          <w:tcPr>
            <w:tcW w:w="550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4FC95501" w14:textId="77777777" w:rsidR="0087185D" w:rsidRDefault="00000000">
            <w:r>
              <w:rPr>
                <w:sz w:val="20"/>
                <w:szCs w:val="20"/>
              </w:rPr>
              <w:t>SpO₂ cae (drop_pct)</w:t>
            </w:r>
          </w:p>
        </w:tc>
      </w:tr>
      <w:tr w:rsidR="0087185D" w14:paraId="37E777D1" w14:textId="77777777">
        <w:tc>
          <w:tcPr>
            <w:tcW w:w="812"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105A7CCD" w14:textId="77777777" w:rsidR="0087185D" w:rsidRDefault="00000000">
            <w:r>
              <w:rPr>
                <w:b/>
                <w:bCs/>
                <w:sz w:val="20"/>
                <w:szCs w:val="20"/>
              </w:rPr>
              <w:t>2</w:t>
            </w:r>
          </w:p>
        </w:tc>
        <w:tc>
          <w:tcPr>
            <w:tcW w:w="2708"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7A726B82" w14:textId="77777777" w:rsidR="0087185D" w:rsidRDefault="00000000">
            <w:r>
              <w:rPr>
                <w:sz w:val="20"/>
                <w:szCs w:val="20"/>
              </w:rPr>
              <w:t>Quimiorreceptores periféricos (cuerpo carotídeo) y centrales detectan la hipoxia</w:t>
            </w:r>
          </w:p>
        </w:tc>
        <w:tc>
          <w:tcPr>
            <w:tcW w:w="550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12934C6C" w14:textId="77777777" w:rsidR="0087185D" w:rsidRDefault="00000000">
            <w:r>
              <w:rPr>
                <w:sz w:val="20"/>
                <w:szCs w:val="20"/>
              </w:rPr>
              <w:t>—</w:t>
            </w:r>
          </w:p>
        </w:tc>
      </w:tr>
      <w:tr w:rsidR="0087185D" w14:paraId="48409556" w14:textId="77777777">
        <w:tc>
          <w:tcPr>
            <w:tcW w:w="812"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45EC69B0" w14:textId="77777777" w:rsidR="0087185D" w:rsidRDefault="00000000">
            <w:r>
              <w:rPr>
                <w:b/>
                <w:bCs/>
                <w:sz w:val="20"/>
                <w:szCs w:val="20"/>
              </w:rPr>
              <w:t>3</w:t>
            </w:r>
          </w:p>
        </w:tc>
        <w:tc>
          <w:tcPr>
            <w:tcW w:w="270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199F59D5" w14:textId="77777777" w:rsidR="0087185D" w:rsidRDefault="00000000">
            <w:r>
              <w:rPr>
                <w:sz w:val="20"/>
                <w:szCs w:val="20"/>
              </w:rPr>
              <w:t>Activación simpática: taquicardia refleja + vasoconstricción periférica</w:t>
            </w:r>
          </w:p>
        </w:tc>
        <w:tc>
          <w:tcPr>
            <w:tcW w:w="550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11461281" w14:textId="77777777" w:rsidR="0087185D" w:rsidRDefault="00000000">
            <w:r>
              <w:rPr>
                <w:sz w:val="20"/>
                <w:szCs w:val="20"/>
              </w:rPr>
              <w:t>Δhr sube → contribuye a hr_gain</w:t>
            </w:r>
          </w:p>
        </w:tc>
      </w:tr>
      <w:tr w:rsidR="0087185D" w14:paraId="3F714F5B" w14:textId="77777777">
        <w:tc>
          <w:tcPr>
            <w:tcW w:w="812"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70ADE01A" w14:textId="77777777" w:rsidR="0087185D" w:rsidRDefault="00000000">
            <w:r>
              <w:rPr>
                <w:b/>
                <w:bCs/>
                <w:sz w:val="20"/>
                <w:szCs w:val="20"/>
              </w:rPr>
              <w:t>4</w:t>
            </w:r>
          </w:p>
        </w:tc>
        <w:tc>
          <w:tcPr>
            <w:tcW w:w="2708"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597B39CF" w14:textId="77777777" w:rsidR="0087185D" w:rsidRDefault="00000000">
            <w:r>
              <w:rPr>
                <w:sz w:val="20"/>
                <w:szCs w:val="20"/>
              </w:rPr>
              <w:t>Arousal cortical/subcortical → microdespertar, movimiento</w:t>
            </w:r>
          </w:p>
        </w:tc>
        <w:tc>
          <w:tcPr>
            <w:tcW w:w="550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6765977C" w14:textId="77777777" w:rsidR="0087185D" w:rsidRDefault="00000000">
            <w:r>
              <w:rPr>
                <w:sz w:val="20"/>
                <w:szCs w:val="20"/>
              </w:rPr>
              <w:t>ΔMov sube → contribuye a mov_gain</w:t>
            </w:r>
          </w:p>
        </w:tc>
      </w:tr>
      <w:tr w:rsidR="0087185D" w14:paraId="5A495FF5" w14:textId="77777777">
        <w:tc>
          <w:tcPr>
            <w:tcW w:w="812"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78FE31B1" w14:textId="77777777" w:rsidR="0087185D" w:rsidRDefault="00000000">
            <w:r>
              <w:rPr>
                <w:b/>
                <w:bCs/>
                <w:sz w:val="20"/>
                <w:szCs w:val="20"/>
              </w:rPr>
              <w:t>5</w:t>
            </w:r>
          </w:p>
        </w:tc>
        <w:tc>
          <w:tcPr>
            <w:tcW w:w="270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4AC5591F" w14:textId="77777777" w:rsidR="0087185D" w:rsidRDefault="00000000">
            <w:r>
              <w:rPr>
                <w:sz w:val="20"/>
                <w:szCs w:val="20"/>
              </w:rPr>
              <w:t>Reanudación respiratoria → recuperación de SpO₂</w:t>
            </w:r>
          </w:p>
        </w:tc>
        <w:tc>
          <w:tcPr>
            <w:tcW w:w="550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0FF8E3D7" w14:textId="77777777" w:rsidR="0087185D" w:rsidRDefault="00000000">
            <w:r>
              <w:rPr>
                <w:sz w:val="20"/>
                <w:szCs w:val="20"/>
              </w:rPr>
              <w:t>SpO₂ vuelve a baseline</w:t>
            </w:r>
          </w:p>
        </w:tc>
      </w:tr>
    </w:tbl>
    <w:p w14:paraId="4BF32454" w14:textId="77777777" w:rsidR="0087185D" w:rsidRDefault="0087185D">
      <w:pPr>
        <w:spacing w:after="80"/>
      </w:pPr>
    </w:p>
    <w:p w14:paraId="49C57AB0" w14:textId="77777777" w:rsidR="0087185D" w:rsidRDefault="00000000">
      <w:pPr>
        <w:spacing w:after="160"/>
        <w:jc w:val="both"/>
      </w:pPr>
      <w:r>
        <w:t>El ARI captura la intensidad de los pasos 3 y 4, normalizados por la intensidad del paso 1 (drop_pct). Un ARI alto significa que ante una caída de X puntos de SpO₂, el organismo responde con un incremento proporcionalmente grande de FC y movimiento. Un ARI bajo indica respuesta pequeña respecto al estímulo hipóxico.</w:t>
      </w:r>
    </w:p>
    <w:p w14:paraId="3800996A" w14:textId="77777777" w:rsidR="0087185D" w:rsidRDefault="00000000">
      <w:pPr>
        <w:pStyle w:val="Ttulo2"/>
        <w:spacing w:before="280"/>
      </w:pPr>
      <w:r>
        <w:t>5.2 Interpretación de valores extremos</w:t>
      </w:r>
    </w:p>
    <w:p w14:paraId="0A0A4B6E" w14:textId="77777777" w:rsidR="0087185D" w:rsidRDefault="00000000">
      <w:pPr>
        <w:pStyle w:val="Ttulo3"/>
        <w:spacing w:before="180"/>
      </w:pPr>
      <w:r>
        <w:t>ARI alto (percentil &gt; 70 en corpus)</w:t>
      </w:r>
    </w:p>
    <w:p w14:paraId="47FC7F38" w14:textId="77777777" w:rsidR="0087185D" w:rsidRDefault="00000000">
      <w:pPr>
        <w:pStyle w:val="Prrafodelista"/>
        <w:numPr>
          <w:ilvl w:val="0"/>
          <w:numId w:val="2"/>
        </w:numPr>
        <w:spacing w:after="80"/>
      </w:pPr>
      <w:r>
        <w:t>Respuesta autonómica robusta e inmediata.</w:t>
      </w:r>
    </w:p>
    <w:p w14:paraId="3CA97364" w14:textId="77777777" w:rsidR="0087185D" w:rsidRDefault="00000000">
      <w:pPr>
        <w:pStyle w:val="Prrafodelista"/>
        <w:numPr>
          <w:ilvl w:val="0"/>
          <w:numId w:val="2"/>
        </w:numPr>
        <w:spacing w:after="80"/>
      </w:pPr>
      <w:r>
        <w:t>FC sube significativamente tras el nadir de SpO₂.</w:t>
      </w:r>
    </w:p>
    <w:p w14:paraId="4BBC9A52" w14:textId="77777777" w:rsidR="0087185D" w:rsidRDefault="00000000">
      <w:pPr>
        <w:pStyle w:val="Prrafodelista"/>
        <w:numPr>
          <w:ilvl w:val="0"/>
          <w:numId w:val="2"/>
        </w:numPr>
        <w:spacing w:after="80"/>
      </w:pPr>
      <w:r>
        <w:t>Paciente se mueve (arousal con componente motor).</w:t>
      </w:r>
    </w:p>
    <w:p w14:paraId="1D791136" w14:textId="77777777" w:rsidR="0087185D" w:rsidRDefault="00000000">
      <w:pPr>
        <w:pStyle w:val="Prrafodelista"/>
        <w:numPr>
          <w:ilvl w:val="0"/>
          <w:numId w:val="2"/>
        </w:numPr>
        <w:spacing w:after="80"/>
      </w:pPr>
      <w:r>
        <w:t>Puede reflejar: hipersensibilidad del quimiorreflejo, hiperactividad simpática basal, arousals de alta intensidad energética.</w:t>
      </w:r>
    </w:p>
    <w:p w14:paraId="4895FACA" w14:textId="77777777" w:rsidR="0087185D" w:rsidRDefault="00000000">
      <w:pPr>
        <w:pStyle w:val="Prrafodelista"/>
        <w:numPr>
          <w:ilvl w:val="0"/>
          <w:numId w:val="2"/>
        </w:numPr>
        <w:spacing w:after="80"/>
      </w:pPr>
      <w:r>
        <w:t>Asociación potencial con mayor variabilidad de FC nocturna y estrés cardiovascular simpático crónico (Narkiewicz et al. 1998).</w:t>
      </w:r>
    </w:p>
    <w:p w14:paraId="3CC2FDBC" w14:textId="77777777" w:rsidR="0087185D" w:rsidRDefault="0087185D">
      <w:pPr>
        <w:spacing w:after="80"/>
      </w:pPr>
    </w:p>
    <w:p w14:paraId="1F8CF3C9" w14:textId="77777777" w:rsidR="0087185D" w:rsidRDefault="00000000">
      <w:pPr>
        <w:pStyle w:val="Ttulo3"/>
        <w:spacing w:before="180"/>
      </w:pPr>
      <w:r>
        <w:t>ARI bajo (percentil &lt; 30 en corpus)</w:t>
      </w:r>
    </w:p>
    <w:p w14:paraId="7D711B5D" w14:textId="77777777" w:rsidR="0087185D" w:rsidRDefault="00000000">
      <w:pPr>
        <w:pStyle w:val="Prrafodelista"/>
        <w:numPr>
          <w:ilvl w:val="0"/>
          <w:numId w:val="2"/>
        </w:numPr>
        <w:spacing w:after="80"/>
      </w:pPr>
      <w:r>
        <w:t>Respuesta autonómica atenuada — el organismo no reacciona proporcionalmente a la caída de SpO₂.</w:t>
      </w:r>
    </w:p>
    <w:p w14:paraId="7733CB93" w14:textId="77777777" w:rsidR="0087185D" w:rsidRDefault="00000000">
      <w:pPr>
        <w:pStyle w:val="Prrafodelista"/>
        <w:numPr>
          <w:ilvl w:val="0"/>
          <w:numId w:val="2"/>
        </w:numPr>
        <w:spacing w:after="80"/>
      </w:pPr>
      <w:r>
        <w:t>Posibles mecanismos: desensibilización del cuerpo carotídeo por hipoxia intermitente crónica, neuropatía autonómica, agotamiento simpático por exposición prolongada.</w:t>
      </w:r>
    </w:p>
    <w:p w14:paraId="1915ABEF" w14:textId="77777777" w:rsidR="0087185D" w:rsidRDefault="00000000">
      <w:pPr>
        <w:pStyle w:val="Prrafodelista"/>
        <w:numPr>
          <w:ilvl w:val="0"/>
          <w:numId w:val="2"/>
        </w:numPr>
        <w:spacing w:after="80"/>
      </w:pPr>
      <w:r>
        <w:lastRenderedPageBreak/>
        <w:t>En eventos leves (C1): puede ser normal — el estímulo es pequeño y la respuesta es pequeña.</w:t>
      </w:r>
    </w:p>
    <w:p w14:paraId="6F71A818" w14:textId="77777777" w:rsidR="0087185D" w:rsidRDefault="00000000">
      <w:pPr>
        <w:pStyle w:val="Prrafodelista"/>
        <w:numPr>
          <w:ilvl w:val="0"/>
          <w:numId w:val="2"/>
        </w:numPr>
        <w:spacing w:after="80"/>
      </w:pPr>
      <w:r>
        <w:t>En eventos severos (C5): es el hallazgo patológico — silencio autonómico ante hipoxia profunda. El sistema de alarma fisiológica ha fallado.</w:t>
      </w:r>
    </w:p>
    <w:p w14:paraId="764A8A5D" w14:textId="77777777" w:rsidR="0087185D" w:rsidRDefault="0087185D">
      <w:pPr>
        <w:spacing w:after="80"/>
      </w:pPr>
    </w:p>
    <w:p w14:paraId="24AB1656" w14:textId="77777777" w:rsidR="0087185D" w:rsidRDefault="00000000">
      <w:pPr>
        <w:pStyle w:val="Ttulo2"/>
        <w:spacing w:before="280"/>
      </w:pPr>
      <w:r>
        <w:t>5.3 Diferencia con la HRV clásica</w:t>
      </w:r>
    </w:p>
    <w:p w14:paraId="5284A128" w14:textId="77777777" w:rsidR="0087185D" w:rsidRDefault="00000000">
      <w:pPr>
        <w:spacing w:after="160"/>
        <w:jc w:val="both"/>
      </w:pPr>
      <w:r>
        <w:t>El ARI no es equivalente a la variabilidad de la frecuencia cardíaca (HRV), aunque ambos reflejan actividad del sistema nervioso autónomo: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3159"/>
        <w:gridCol w:w="3610"/>
      </w:tblGrid>
      <w:tr w:rsidR="0087185D" w14:paraId="55B3682B" w14:textId="77777777">
        <w:trPr>
          <w:tblHeader/>
        </w:trPr>
        <w:tc>
          <w:tcPr>
            <w:tcW w:w="2257"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4527530C" w14:textId="77777777" w:rsidR="0087185D" w:rsidRDefault="0087185D">
            <w:pPr>
              <w:jc w:val="center"/>
            </w:pPr>
          </w:p>
        </w:tc>
        <w:tc>
          <w:tcPr>
            <w:tcW w:w="3159"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10A9D332" w14:textId="77777777" w:rsidR="0087185D" w:rsidRDefault="00000000">
            <w:pPr>
              <w:jc w:val="center"/>
            </w:pPr>
            <w:r>
              <w:rPr>
                <w:b/>
                <w:bCs/>
                <w:color w:val="FFFFFF"/>
                <w:sz w:val="20"/>
                <w:szCs w:val="20"/>
              </w:rPr>
              <w:t>HRV clásica</w:t>
            </w:r>
          </w:p>
        </w:tc>
        <w:tc>
          <w:tcPr>
            <w:tcW w:w="361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5E17E4DA" w14:textId="77777777" w:rsidR="0087185D" w:rsidRDefault="00000000">
            <w:pPr>
              <w:jc w:val="center"/>
            </w:pPr>
            <w:r>
              <w:rPr>
                <w:b/>
                <w:bCs/>
                <w:color w:val="FFFFFF"/>
                <w:sz w:val="20"/>
                <w:szCs w:val="20"/>
              </w:rPr>
              <w:t>ARI</w:t>
            </w:r>
          </w:p>
        </w:tc>
      </w:tr>
      <w:tr w:rsidR="0087185D" w14:paraId="791C8E94" w14:textId="77777777">
        <w:tc>
          <w:tcPr>
            <w:tcW w:w="2257"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5EB025D1" w14:textId="77777777" w:rsidR="0087185D" w:rsidRDefault="00000000">
            <w:r>
              <w:rPr>
                <w:b/>
                <w:bCs/>
                <w:sz w:val="20"/>
                <w:szCs w:val="20"/>
              </w:rPr>
              <w:t>Escala temporal</w:t>
            </w:r>
          </w:p>
        </w:tc>
        <w:tc>
          <w:tcPr>
            <w:tcW w:w="3159"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26A7A7DB" w14:textId="77777777" w:rsidR="0087185D" w:rsidRDefault="00000000">
            <w:r>
              <w:rPr>
                <w:sz w:val="20"/>
                <w:szCs w:val="20"/>
              </w:rPr>
              <w:t>Señal continua nocturna (minutos–horas)</w:t>
            </w:r>
          </w:p>
        </w:tc>
        <w:tc>
          <w:tcPr>
            <w:tcW w:w="361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08DF49BD" w14:textId="77777777" w:rsidR="0087185D" w:rsidRDefault="00000000">
            <w:r>
              <w:rPr>
                <w:sz w:val="20"/>
                <w:szCs w:val="20"/>
              </w:rPr>
              <w:t>Evento específico (10–120 s)</w:t>
            </w:r>
          </w:p>
        </w:tc>
      </w:tr>
      <w:tr w:rsidR="0087185D" w14:paraId="6B63AE3E" w14:textId="77777777">
        <w:tc>
          <w:tcPr>
            <w:tcW w:w="2257"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5796C970" w14:textId="77777777" w:rsidR="0087185D" w:rsidRDefault="00000000">
            <w:r>
              <w:rPr>
                <w:b/>
                <w:bCs/>
                <w:sz w:val="20"/>
                <w:szCs w:val="20"/>
              </w:rPr>
              <w:t>Qué captura</w:t>
            </w:r>
          </w:p>
        </w:tc>
        <w:tc>
          <w:tcPr>
            <w:tcW w:w="3159"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4EBAA953" w14:textId="77777777" w:rsidR="0087185D" w:rsidRDefault="00000000">
            <w:r>
              <w:rPr>
                <w:sz w:val="20"/>
                <w:szCs w:val="20"/>
              </w:rPr>
              <w:t>Balance simpático-vagal global durante la noche</w:t>
            </w:r>
          </w:p>
        </w:tc>
        <w:tc>
          <w:tcPr>
            <w:tcW w:w="361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69FEB49C" w14:textId="77777777" w:rsidR="0087185D" w:rsidRDefault="00000000">
            <w:r>
              <w:rPr>
                <w:sz w:val="20"/>
                <w:szCs w:val="20"/>
              </w:rPr>
              <w:t>Ganancia de respuesta por unidad de estímulo hipóxico</w:t>
            </w:r>
          </w:p>
        </w:tc>
      </w:tr>
      <w:tr w:rsidR="0087185D" w14:paraId="2B401823" w14:textId="77777777">
        <w:tc>
          <w:tcPr>
            <w:tcW w:w="2257"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6A207E1A" w14:textId="77777777" w:rsidR="0087185D" w:rsidRDefault="00000000">
            <w:r>
              <w:rPr>
                <w:b/>
                <w:bCs/>
                <w:sz w:val="20"/>
                <w:szCs w:val="20"/>
              </w:rPr>
              <w:t>Señal requerida</w:t>
            </w:r>
          </w:p>
        </w:tc>
        <w:tc>
          <w:tcPr>
            <w:tcW w:w="3159"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7B9295C4" w14:textId="77777777" w:rsidR="0087185D" w:rsidRDefault="00000000">
            <w:r>
              <w:rPr>
                <w:sz w:val="20"/>
                <w:szCs w:val="20"/>
              </w:rPr>
              <w:t>ECG de alta resolución (intervalos R-R en ms)</w:t>
            </w:r>
          </w:p>
        </w:tc>
        <w:tc>
          <w:tcPr>
            <w:tcW w:w="361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418876BD" w14:textId="77777777" w:rsidR="0087185D" w:rsidRDefault="00000000">
            <w:r>
              <w:rPr>
                <w:sz w:val="20"/>
                <w:szCs w:val="20"/>
              </w:rPr>
              <w:t>Oxímetro de dedo (SpO₂ + FC + movimiento)</w:t>
            </w:r>
          </w:p>
        </w:tc>
      </w:tr>
      <w:tr w:rsidR="0087185D" w14:paraId="7A2F7E5A" w14:textId="77777777">
        <w:tc>
          <w:tcPr>
            <w:tcW w:w="2257"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54EACAA2" w14:textId="77777777" w:rsidR="0087185D" w:rsidRDefault="00000000">
            <w:r>
              <w:rPr>
                <w:b/>
                <w:bCs/>
                <w:sz w:val="20"/>
                <w:szCs w:val="20"/>
              </w:rPr>
              <w:t>Línea de base</w:t>
            </w:r>
          </w:p>
        </w:tc>
        <w:tc>
          <w:tcPr>
            <w:tcW w:w="3159"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4E6C9379" w14:textId="77777777" w:rsidR="0087185D" w:rsidRDefault="00000000">
            <w:r>
              <w:rPr>
                <w:sz w:val="20"/>
                <w:szCs w:val="20"/>
              </w:rPr>
              <w:t>Global nocturna</w:t>
            </w:r>
          </w:p>
        </w:tc>
        <w:tc>
          <w:tcPr>
            <w:tcW w:w="361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36627501" w14:textId="77777777" w:rsidR="0087185D" w:rsidRDefault="00000000">
            <w:r>
              <w:rPr>
                <w:sz w:val="20"/>
                <w:szCs w:val="20"/>
              </w:rPr>
              <w:t>Local al evento individual</w:t>
            </w:r>
          </w:p>
        </w:tc>
      </w:tr>
      <w:tr w:rsidR="0087185D" w14:paraId="22B8BE22" w14:textId="77777777">
        <w:tc>
          <w:tcPr>
            <w:tcW w:w="2257"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0B0F3E7B" w14:textId="77777777" w:rsidR="0087185D" w:rsidRDefault="00000000">
            <w:r>
              <w:rPr>
                <w:b/>
                <w:bCs/>
                <w:sz w:val="20"/>
                <w:szCs w:val="20"/>
              </w:rPr>
              <w:t>Normalización</w:t>
            </w:r>
          </w:p>
        </w:tc>
        <w:tc>
          <w:tcPr>
            <w:tcW w:w="3159"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62DCAADB" w14:textId="77777777" w:rsidR="0087185D" w:rsidRDefault="00000000">
            <w:r>
              <w:rPr>
                <w:sz w:val="20"/>
                <w:szCs w:val="20"/>
              </w:rPr>
              <w:t>Valores absolutos o bandas frecuenciales</w:t>
            </w:r>
          </w:p>
        </w:tc>
        <w:tc>
          <w:tcPr>
            <w:tcW w:w="361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469379E9" w14:textId="77777777" w:rsidR="0087185D" w:rsidRDefault="00000000">
            <w:r>
              <w:rPr>
                <w:sz w:val="20"/>
                <w:szCs w:val="20"/>
              </w:rPr>
              <w:t>Rango percentil corpus-wide</w:t>
            </w:r>
          </w:p>
        </w:tc>
      </w:tr>
    </w:tbl>
    <w:p w14:paraId="2462D3B4" w14:textId="77777777" w:rsidR="0087185D" w:rsidRDefault="0087185D">
      <w:pPr>
        <w:spacing w:after="80"/>
      </w:pPr>
    </w:p>
    <w:p w14:paraId="7E606073" w14:textId="77777777" w:rsidR="0087185D" w:rsidRDefault="00000000">
      <w:pPr>
        <w:pStyle w:val="Ttulo1"/>
        <w:spacing w:before="400"/>
      </w:pPr>
      <w:r>
        <w:t>6. El espacio bidimensional: ARI × Carga hipóxica</w:t>
      </w:r>
    </w:p>
    <w:p w14:paraId="52612798" w14:textId="77777777" w:rsidR="0087185D" w:rsidRDefault="00000000">
      <w:pPr>
        <w:spacing w:after="160"/>
        <w:jc w:val="both"/>
      </w:pPr>
      <w:r>
        <w:t>Al combinar el ARI con un índice de carga hipóxica (ODI3 o hypoxic burden), emerge un espacio bidimensional con cuatro cuadrantes clínicamente interpretables. El principal valor del ARI reside en discriminar fenotipos dentro del mismo estrato de severidad clásica:</w:t>
      </w:r>
    </w:p>
    <w:p w14:paraId="7438C9CF" w14:textId="77777777" w:rsidR="0087185D" w:rsidRDefault="0087185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1482"/>
        <w:gridCol w:w="1042"/>
        <w:gridCol w:w="1199"/>
        <w:gridCol w:w="4156"/>
      </w:tblGrid>
      <w:tr w:rsidR="0087185D" w14:paraId="368A80F3" w14:textId="77777777">
        <w:trPr>
          <w:tblHeader/>
        </w:trPr>
        <w:tc>
          <w:tcPr>
            <w:tcW w:w="903"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41A2F100" w14:textId="77777777" w:rsidR="0087185D" w:rsidRDefault="00000000">
            <w:pPr>
              <w:jc w:val="center"/>
            </w:pPr>
            <w:r>
              <w:rPr>
                <w:b/>
                <w:bCs/>
                <w:color w:val="FFFFFF"/>
                <w:sz w:val="20"/>
                <w:szCs w:val="20"/>
              </w:rPr>
              <w:t>Cuadrante</w:t>
            </w:r>
          </w:p>
        </w:tc>
        <w:tc>
          <w:tcPr>
            <w:tcW w:w="1534"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23046EEF" w14:textId="77777777" w:rsidR="0087185D" w:rsidRDefault="00000000">
            <w:pPr>
              <w:jc w:val="center"/>
            </w:pPr>
            <w:r>
              <w:rPr>
                <w:b/>
                <w:bCs/>
                <w:color w:val="FFFFFF"/>
                <w:sz w:val="20"/>
                <w:szCs w:val="20"/>
              </w:rPr>
              <w:t>Carga hipóxica</w:t>
            </w:r>
          </w:p>
        </w:tc>
        <w:tc>
          <w:tcPr>
            <w:tcW w:w="1083"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7C2089CF" w14:textId="77777777" w:rsidR="0087185D" w:rsidRDefault="00000000">
            <w:pPr>
              <w:jc w:val="center"/>
            </w:pPr>
            <w:r>
              <w:rPr>
                <w:b/>
                <w:bCs/>
                <w:color w:val="FFFFFF"/>
                <w:sz w:val="20"/>
                <w:szCs w:val="20"/>
              </w:rPr>
              <w:t>ARI</w:t>
            </w:r>
          </w:p>
        </w:tc>
        <w:tc>
          <w:tcPr>
            <w:tcW w:w="1083"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0753B2E1" w14:textId="77777777" w:rsidR="0087185D" w:rsidRDefault="00000000">
            <w:pPr>
              <w:jc w:val="center"/>
            </w:pPr>
            <w:r>
              <w:rPr>
                <w:b/>
                <w:bCs/>
                <w:color w:val="FFFFFF"/>
                <w:sz w:val="20"/>
                <w:szCs w:val="20"/>
              </w:rPr>
              <w:t>Riesgo CV</w:t>
            </w:r>
          </w:p>
        </w:tc>
        <w:tc>
          <w:tcPr>
            <w:tcW w:w="4423"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31020BC6" w14:textId="77777777" w:rsidR="0087185D" w:rsidRDefault="00000000">
            <w:pPr>
              <w:jc w:val="center"/>
            </w:pPr>
            <w:r>
              <w:rPr>
                <w:b/>
                <w:bCs/>
                <w:color w:val="FFFFFF"/>
                <w:sz w:val="20"/>
                <w:szCs w:val="20"/>
              </w:rPr>
              <w:t>Interpretación fisiopatológica</w:t>
            </w:r>
          </w:p>
        </w:tc>
      </w:tr>
      <w:tr w:rsidR="0087185D" w14:paraId="7C70C79A" w14:textId="77777777">
        <w:tc>
          <w:tcPr>
            <w:tcW w:w="903" w:type="dxa"/>
            <w:tcBorders>
              <w:top w:val="single" w:sz="1" w:space="0" w:color="C8D8E8"/>
              <w:left w:val="single" w:sz="1" w:space="0" w:color="C8D8E8"/>
              <w:bottom w:val="single" w:sz="1" w:space="0" w:color="C8D8E8"/>
              <w:right w:val="single" w:sz="1" w:space="0" w:color="C8D8E8"/>
            </w:tcBorders>
            <w:shd w:val="clear" w:color="auto" w:fill="C8E6C9"/>
            <w:tcMar>
              <w:top w:w="60" w:type="dxa"/>
              <w:left w:w="140" w:type="dxa"/>
              <w:bottom w:w="60" w:type="dxa"/>
              <w:right w:w="140" w:type="dxa"/>
            </w:tcMar>
          </w:tcPr>
          <w:p w14:paraId="7A81B1D5" w14:textId="77777777" w:rsidR="0087185D" w:rsidRDefault="00000000">
            <w:r>
              <w:rPr>
                <w:b/>
                <w:bCs/>
                <w:sz w:val="20"/>
                <w:szCs w:val="20"/>
              </w:rPr>
              <w:t>I</w:t>
            </w:r>
          </w:p>
        </w:tc>
        <w:tc>
          <w:tcPr>
            <w:tcW w:w="1534"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5C902420" w14:textId="77777777" w:rsidR="0087185D" w:rsidRDefault="00000000">
            <w:r>
              <w:rPr>
                <w:sz w:val="20"/>
                <w:szCs w:val="20"/>
              </w:rPr>
              <w:t>Baja</w:t>
            </w:r>
          </w:p>
        </w:tc>
        <w:tc>
          <w:tcPr>
            <w:tcW w:w="1083"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20C6C11C" w14:textId="77777777" w:rsidR="0087185D" w:rsidRDefault="00000000">
            <w:r>
              <w:rPr>
                <w:sz w:val="20"/>
                <w:szCs w:val="20"/>
              </w:rPr>
              <w:t>Alto</w:t>
            </w:r>
          </w:p>
        </w:tc>
        <w:tc>
          <w:tcPr>
            <w:tcW w:w="1083" w:type="dxa"/>
            <w:tcBorders>
              <w:top w:val="single" w:sz="1" w:space="0" w:color="C8D8E8"/>
              <w:left w:val="single" w:sz="1" w:space="0" w:color="C8D8E8"/>
              <w:bottom w:val="single" w:sz="1" w:space="0" w:color="C8D8E8"/>
              <w:right w:val="single" w:sz="1" w:space="0" w:color="C8D8E8"/>
            </w:tcBorders>
            <w:shd w:val="clear" w:color="auto" w:fill="C8E6C9"/>
            <w:tcMar>
              <w:top w:w="60" w:type="dxa"/>
              <w:left w:w="140" w:type="dxa"/>
              <w:bottom w:w="60" w:type="dxa"/>
              <w:right w:w="140" w:type="dxa"/>
            </w:tcMar>
            <w:vAlign w:val="center"/>
          </w:tcPr>
          <w:p w14:paraId="03EB0EB7" w14:textId="77777777" w:rsidR="0087185D" w:rsidRDefault="00000000">
            <w:r>
              <w:rPr>
                <w:sz w:val="20"/>
                <w:szCs w:val="20"/>
              </w:rPr>
              <w:t>Bajo</w:t>
            </w:r>
          </w:p>
        </w:tc>
        <w:tc>
          <w:tcPr>
            <w:tcW w:w="4423"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6BA03727" w14:textId="77777777" w:rsidR="0087185D" w:rsidRDefault="00000000">
            <w:r>
              <w:rPr>
                <w:sz w:val="20"/>
                <w:szCs w:val="20"/>
              </w:rPr>
              <w:t>SAHS leve/moderado con sistema autonómico reactivo. Respuesta simpática eficiente. Perfil más benigno a nivel autonómico.</w:t>
            </w:r>
          </w:p>
        </w:tc>
      </w:tr>
      <w:tr w:rsidR="0087185D" w14:paraId="0DD6DBA5" w14:textId="77777777">
        <w:tc>
          <w:tcPr>
            <w:tcW w:w="903"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0DA6697E" w14:textId="77777777" w:rsidR="0087185D" w:rsidRDefault="00000000">
            <w:r>
              <w:rPr>
                <w:b/>
                <w:bCs/>
                <w:sz w:val="20"/>
                <w:szCs w:val="20"/>
              </w:rPr>
              <w:t>II</w:t>
            </w:r>
          </w:p>
        </w:tc>
        <w:tc>
          <w:tcPr>
            <w:tcW w:w="1534"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4429B4B4" w14:textId="77777777" w:rsidR="0087185D" w:rsidRDefault="00000000">
            <w:r>
              <w:rPr>
                <w:sz w:val="20"/>
                <w:szCs w:val="20"/>
              </w:rPr>
              <w:t>Alta</w:t>
            </w:r>
          </w:p>
        </w:tc>
        <w:tc>
          <w:tcPr>
            <w:tcW w:w="1083"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0F06447F" w14:textId="77777777" w:rsidR="0087185D" w:rsidRDefault="00000000">
            <w:r>
              <w:rPr>
                <w:sz w:val="20"/>
                <w:szCs w:val="20"/>
              </w:rPr>
              <w:t>Alto</w:t>
            </w:r>
          </w:p>
        </w:tc>
        <w:tc>
          <w:tcPr>
            <w:tcW w:w="1083" w:type="dxa"/>
            <w:tcBorders>
              <w:top w:val="single" w:sz="1" w:space="0" w:color="C8D8E8"/>
              <w:left w:val="single" w:sz="1" w:space="0" w:color="C8D8E8"/>
              <w:bottom w:val="single" w:sz="1" w:space="0" w:color="C8D8E8"/>
              <w:right w:val="single" w:sz="1" w:space="0" w:color="C8D8E8"/>
            </w:tcBorders>
            <w:shd w:val="clear" w:color="auto" w:fill="FFF2CC"/>
            <w:tcMar>
              <w:top w:w="60" w:type="dxa"/>
              <w:left w:w="140" w:type="dxa"/>
              <w:bottom w:w="60" w:type="dxa"/>
              <w:right w:w="140" w:type="dxa"/>
            </w:tcMar>
            <w:vAlign w:val="center"/>
          </w:tcPr>
          <w:p w14:paraId="7E7E6D36" w14:textId="77777777" w:rsidR="0087185D" w:rsidRDefault="00000000">
            <w:r>
              <w:rPr>
                <w:sz w:val="20"/>
                <w:szCs w:val="20"/>
              </w:rPr>
              <w:t>Moderado-alto</w:t>
            </w:r>
          </w:p>
        </w:tc>
        <w:tc>
          <w:tcPr>
            <w:tcW w:w="4423"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5330AFD8" w14:textId="77777777" w:rsidR="0087185D" w:rsidRDefault="00000000">
            <w:r>
              <w:rPr>
                <w:sz w:val="20"/>
                <w:szCs w:val="20"/>
              </w:rPr>
              <w:t>SAHS severo con respuesta autonómica intacta. Estrés simpático crónico por activaciones repetidas e intensas.</w:t>
            </w:r>
          </w:p>
        </w:tc>
      </w:tr>
      <w:tr w:rsidR="0087185D" w14:paraId="6EB69493" w14:textId="77777777">
        <w:tc>
          <w:tcPr>
            <w:tcW w:w="903" w:type="dxa"/>
            <w:tcBorders>
              <w:top w:val="single" w:sz="1" w:space="0" w:color="C8D8E8"/>
              <w:left w:val="single" w:sz="1" w:space="0" w:color="C8D8E8"/>
              <w:bottom w:val="single" w:sz="1" w:space="0" w:color="C8D8E8"/>
              <w:right w:val="single" w:sz="1" w:space="0" w:color="C8D8E8"/>
            </w:tcBorders>
            <w:shd w:val="clear" w:color="auto" w:fill="FFF9C4"/>
            <w:tcMar>
              <w:top w:w="60" w:type="dxa"/>
              <w:left w:w="140" w:type="dxa"/>
              <w:bottom w:w="60" w:type="dxa"/>
              <w:right w:w="140" w:type="dxa"/>
            </w:tcMar>
          </w:tcPr>
          <w:p w14:paraId="06B50B2F" w14:textId="77777777" w:rsidR="0087185D" w:rsidRDefault="00000000">
            <w:r>
              <w:rPr>
                <w:b/>
                <w:bCs/>
                <w:sz w:val="20"/>
                <w:szCs w:val="20"/>
              </w:rPr>
              <w:t>III</w:t>
            </w:r>
          </w:p>
        </w:tc>
        <w:tc>
          <w:tcPr>
            <w:tcW w:w="1534"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6A7AAD10" w14:textId="77777777" w:rsidR="0087185D" w:rsidRDefault="00000000">
            <w:r>
              <w:rPr>
                <w:sz w:val="20"/>
                <w:szCs w:val="20"/>
              </w:rPr>
              <w:t>Baja</w:t>
            </w:r>
          </w:p>
        </w:tc>
        <w:tc>
          <w:tcPr>
            <w:tcW w:w="1083"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7F4E3858" w14:textId="77777777" w:rsidR="0087185D" w:rsidRDefault="00000000">
            <w:r>
              <w:rPr>
                <w:sz w:val="20"/>
                <w:szCs w:val="20"/>
              </w:rPr>
              <w:t>Bajo</w:t>
            </w:r>
          </w:p>
        </w:tc>
        <w:tc>
          <w:tcPr>
            <w:tcW w:w="1083" w:type="dxa"/>
            <w:tcBorders>
              <w:top w:val="single" w:sz="1" w:space="0" w:color="C8D8E8"/>
              <w:left w:val="single" w:sz="1" w:space="0" w:color="C8D8E8"/>
              <w:bottom w:val="single" w:sz="1" w:space="0" w:color="C8D8E8"/>
              <w:right w:val="single" w:sz="1" w:space="0" w:color="C8D8E8"/>
            </w:tcBorders>
            <w:shd w:val="clear" w:color="auto" w:fill="FFF9C4"/>
            <w:tcMar>
              <w:top w:w="60" w:type="dxa"/>
              <w:left w:w="140" w:type="dxa"/>
              <w:bottom w:w="60" w:type="dxa"/>
              <w:right w:w="140" w:type="dxa"/>
            </w:tcMar>
            <w:vAlign w:val="center"/>
          </w:tcPr>
          <w:p w14:paraId="76D479A2" w14:textId="77777777" w:rsidR="0087185D" w:rsidRDefault="00000000">
            <w:r>
              <w:rPr>
                <w:sz w:val="20"/>
                <w:szCs w:val="20"/>
              </w:rPr>
              <w:t>Incierto</w:t>
            </w:r>
          </w:p>
        </w:tc>
        <w:tc>
          <w:tcPr>
            <w:tcW w:w="4423"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504B2AD2" w14:textId="77777777" w:rsidR="0087185D" w:rsidRDefault="00000000">
            <w:r>
              <w:rPr>
                <w:sz w:val="20"/>
                <w:szCs w:val="20"/>
              </w:rPr>
              <w:t>SAHS leve con respuesta autonómica embotada. ¿Disfunción autonómica subyacente? ¿Umbral de arousal elevado? Requiere evaluación adicional.</w:t>
            </w:r>
          </w:p>
        </w:tc>
      </w:tr>
      <w:tr w:rsidR="0087185D" w14:paraId="7AF02098" w14:textId="77777777">
        <w:tc>
          <w:tcPr>
            <w:tcW w:w="903" w:type="dxa"/>
            <w:tcBorders>
              <w:top w:val="single" w:sz="1" w:space="0" w:color="C8D8E8"/>
              <w:left w:val="single" w:sz="1" w:space="0" w:color="C8D8E8"/>
              <w:bottom w:val="single" w:sz="1" w:space="0" w:color="C8D8E8"/>
              <w:right w:val="single" w:sz="1" w:space="0" w:color="C8D8E8"/>
            </w:tcBorders>
            <w:shd w:val="clear" w:color="auto" w:fill="FFCDD2"/>
            <w:tcMar>
              <w:top w:w="60" w:type="dxa"/>
              <w:left w:w="140" w:type="dxa"/>
              <w:bottom w:w="60" w:type="dxa"/>
              <w:right w:w="140" w:type="dxa"/>
            </w:tcMar>
          </w:tcPr>
          <w:p w14:paraId="6D6EC6E2" w14:textId="77777777" w:rsidR="0087185D" w:rsidRDefault="00000000">
            <w:r>
              <w:rPr>
                <w:b/>
                <w:bCs/>
                <w:sz w:val="20"/>
                <w:szCs w:val="20"/>
              </w:rPr>
              <w:lastRenderedPageBreak/>
              <w:t>IV</w:t>
            </w:r>
          </w:p>
        </w:tc>
        <w:tc>
          <w:tcPr>
            <w:tcW w:w="1534" w:type="dxa"/>
            <w:tcBorders>
              <w:top w:val="single" w:sz="1" w:space="0" w:color="C8D8E8"/>
              <w:left w:val="single" w:sz="1" w:space="0" w:color="C8D8E8"/>
              <w:bottom w:val="single" w:sz="1" w:space="0" w:color="C8D8E8"/>
              <w:right w:val="single" w:sz="1" w:space="0" w:color="C8D8E8"/>
            </w:tcBorders>
            <w:shd w:val="clear" w:color="auto" w:fill="FFCDD2"/>
            <w:tcMar>
              <w:top w:w="60" w:type="dxa"/>
              <w:left w:w="140" w:type="dxa"/>
              <w:bottom w:w="60" w:type="dxa"/>
              <w:right w:w="140" w:type="dxa"/>
            </w:tcMar>
            <w:vAlign w:val="center"/>
          </w:tcPr>
          <w:p w14:paraId="4DD0B321" w14:textId="77777777" w:rsidR="0087185D" w:rsidRDefault="00000000">
            <w:r>
              <w:rPr>
                <w:sz w:val="20"/>
                <w:szCs w:val="20"/>
              </w:rPr>
              <w:t>Alta</w:t>
            </w:r>
          </w:p>
        </w:tc>
        <w:tc>
          <w:tcPr>
            <w:tcW w:w="1083" w:type="dxa"/>
            <w:tcBorders>
              <w:top w:val="single" w:sz="1" w:space="0" w:color="C8D8E8"/>
              <w:left w:val="single" w:sz="1" w:space="0" w:color="C8D8E8"/>
              <w:bottom w:val="single" w:sz="1" w:space="0" w:color="C8D8E8"/>
              <w:right w:val="single" w:sz="1" w:space="0" w:color="C8D8E8"/>
            </w:tcBorders>
            <w:shd w:val="clear" w:color="auto" w:fill="FFCDD2"/>
            <w:tcMar>
              <w:top w:w="60" w:type="dxa"/>
              <w:left w:w="140" w:type="dxa"/>
              <w:bottom w:w="60" w:type="dxa"/>
              <w:right w:w="140" w:type="dxa"/>
            </w:tcMar>
            <w:vAlign w:val="center"/>
          </w:tcPr>
          <w:p w14:paraId="5A74C989" w14:textId="77777777" w:rsidR="0087185D" w:rsidRDefault="00000000">
            <w:r>
              <w:rPr>
                <w:sz w:val="20"/>
                <w:szCs w:val="20"/>
              </w:rPr>
              <w:t>Bajo</w:t>
            </w:r>
          </w:p>
        </w:tc>
        <w:tc>
          <w:tcPr>
            <w:tcW w:w="1083" w:type="dxa"/>
            <w:tcBorders>
              <w:top w:val="single" w:sz="1" w:space="0" w:color="C8D8E8"/>
              <w:left w:val="single" w:sz="1" w:space="0" w:color="C8D8E8"/>
              <w:bottom w:val="single" w:sz="1" w:space="0" w:color="C8D8E8"/>
              <w:right w:val="single" w:sz="1" w:space="0" w:color="C8D8E8"/>
            </w:tcBorders>
            <w:shd w:val="clear" w:color="auto" w:fill="FFCDD2"/>
            <w:tcMar>
              <w:top w:w="60" w:type="dxa"/>
              <w:left w:w="140" w:type="dxa"/>
              <w:bottom w:w="60" w:type="dxa"/>
              <w:right w:w="140" w:type="dxa"/>
            </w:tcMar>
            <w:vAlign w:val="center"/>
          </w:tcPr>
          <w:p w14:paraId="4D6470B9" w14:textId="77777777" w:rsidR="0087185D" w:rsidRDefault="00000000">
            <w:r>
              <w:rPr>
                <w:b/>
                <w:bCs/>
                <w:sz w:val="20"/>
                <w:szCs w:val="20"/>
              </w:rPr>
              <w:t>Alto</w:t>
            </w:r>
          </w:p>
        </w:tc>
        <w:tc>
          <w:tcPr>
            <w:tcW w:w="4423"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21454EE3" w14:textId="77777777" w:rsidR="0087185D" w:rsidRDefault="00000000">
            <w:r>
              <w:rPr>
                <w:sz w:val="20"/>
                <w:szCs w:val="20"/>
              </w:rPr>
              <w:t>SAHS severo con silencio autonómico. Agotamiento simpático ante hipoxia severa recurrente. Patrón de máximo interés clínico.</w:t>
            </w:r>
          </w:p>
        </w:tc>
      </w:tr>
    </w:tbl>
    <w:p w14:paraId="691F6805" w14:textId="77777777" w:rsidR="0087185D" w:rsidRDefault="0087185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7492"/>
      </w:tblGrid>
      <w:tr w:rsidR="0087185D" w14:paraId="4346DC72" w14:textId="77777777">
        <w:tc>
          <w:tcPr>
            <w:tcW w:w="1534" w:type="dxa"/>
            <w:tcBorders>
              <w:top w:val="single" w:sz="4" w:space="0" w:color="8BAED0"/>
              <w:left w:val="single" w:sz="4" w:space="0" w:color="8BAED0"/>
              <w:bottom w:val="single" w:sz="4" w:space="0" w:color="8BAED0"/>
              <w:right w:val="single" w:sz="4" w:space="0" w:color="8BAED0"/>
            </w:tcBorders>
            <w:shd w:val="clear" w:color="auto" w:fill="C0392B"/>
            <w:tcMar>
              <w:top w:w="80" w:type="dxa"/>
              <w:left w:w="120" w:type="dxa"/>
              <w:bottom w:w="80" w:type="dxa"/>
              <w:right w:w="120" w:type="dxa"/>
            </w:tcMar>
          </w:tcPr>
          <w:p w14:paraId="74E66AF2" w14:textId="77777777" w:rsidR="0087185D" w:rsidRDefault="00000000">
            <w:pPr>
              <w:jc w:val="center"/>
            </w:pPr>
            <w:r>
              <w:rPr>
                <w:b/>
                <w:bCs/>
                <w:color w:val="FFFFFF"/>
                <w:sz w:val="20"/>
                <w:szCs w:val="20"/>
              </w:rPr>
              <w:t>Cuadrante IV — el perfil de mayor interés clínico</w:t>
            </w:r>
          </w:p>
        </w:tc>
        <w:tc>
          <w:tcPr>
            <w:tcW w:w="7492" w:type="dxa"/>
            <w:tcBorders>
              <w:top w:val="single" w:sz="1" w:space="0" w:color="C8D8E8"/>
              <w:left w:val="single" w:sz="1" w:space="0" w:color="C8D8E8"/>
              <w:bottom w:val="single" w:sz="1" w:space="0" w:color="C8D8E8"/>
              <w:right w:val="single" w:sz="1" w:space="0" w:color="C8D8E8"/>
            </w:tcBorders>
            <w:shd w:val="clear" w:color="auto" w:fill="FCE4D6"/>
            <w:tcMar>
              <w:top w:w="80" w:type="dxa"/>
              <w:left w:w="140" w:type="dxa"/>
              <w:bottom w:w="80" w:type="dxa"/>
              <w:right w:w="140" w:type="dxa"/>
            </w:tcMar>
          </w:tcPr>
          <w:p w14:paraId="46A1ABAB" w14:textId="77777777" w:rsidR="0087185D" w:rsidRDefault="00000000">
            <w:pPr>
              <w:spacing w:after="60"/>
            </w:pPr>
            <w:r>
              <w:rPr>
                <w:sz w:val="20"/>
                <w:szCs w:val="20"/>
              </w:rPr>
              <w:t>Carga hipóxica alta + ARI bajo = el organismo está sometido a hipoxia</w:t>
            </w:r>
          </w:p>
          <w:p w14:paraId="43438C39" w14:textId="77777777" w:rsidR="0087185D" w:rsidRDefault="00000000">
            <w:pPr>
              <w:spacing w:after="60"/>
            </w:pPr>
            <w:r>
              <w:rPr>
                <w:sz w:val="20"/>
                <w:szCs w:val="20"/>
              </w:rPr>
              <w:t>severa recurrente pero ya no tiene capacidad de respuesta autonómica.</w:t>
            </w:r>
          </w:p>
          <w:p w14:paraId="11673D07" w14:textId="77777777" w:rsidR="0087185D" w:rsidRDefault="00000000">
            <w:pPr>
              <w:spacing w:after="60"/>
            </w:pPr>
            <w:r>
              <w:rPr>
                <w:sz w:val="20"/>
                <w:szCs w:val="20"/>
              </w:rPr>
              <w:t>Este patrón es análogo al observado en insuficiencia cardíaca avanzada</w:t>
            </w:r>
          </w:p>
          <w:p w14:paraId="409CF29C" w14:textId="77777777" w:rsidR="0087185D" w:rsidRDefault="00000000">
            <w:pPr>
              <w:spacing w:after="60"/>
            </w:pPr>
            <w:r>
              <w:rPr>
                <w:sz w:val="20"/>
                <w:szCs w:val="20"/>
              </w:rPr>
              <w:t>y neuropatía autonómica diabética.</w:t>
            </w:r>
          </w:p>
          <w:p w14:paraId="601425EF" w14:textId="77777777" w:rsidR="0087185D" w:rsidRDefault="00000000">
            <w:pPr>
              <w:spacing w:after="60"/>
            </w:pPr>
            <w:r>
              <w:rPr>
                <w:sz w:val="20"/>
                <w:szCs w:val="20"/>
              </w:rPr>
              <w:t>Es consistente con la evidencia de que la carga hipóxica predice</w:t>
            </w:r>
          </w:p>
          <w:p w14:paraId="000024CF" w14:textId="77777777" w:rsidR="0087185D" w:rsidRDefault="00000000">
            <w:pPr>
              <w:spacing w:after="60"/>
            </w:pPr>
            <w:r>
              <w:rPr>
                <w:sz w:val="20"/>
                <w:szCs w:val="20"/>
              </w:rPr>
              <w:t>eventos cardiovasculares independientemente del AHI (Azarbarzin 2019),</w:t>
            </w:r>
          </w:p>
          <w:p w14:paraId="2090CAA7" w14:textId="77777777" w:rsidR="0087185D" w:rsidRDefault="00000000">
            <w:pPr>
              <w:spacing w:after="60"/>
            </w:pPr>
            <w:r>
              <w:rPr>
                <w:sz w:val="20"/>
                <w:szCs w:val="20"/>
              </w:rPr>
              <w:t>y que la atenuación del quimiorreflejo es un predictor de mortalidad</w:t>
            </w:r>
          </w:p>
          <w:p w14:paraId="6DBB3E03" w14:textId="77777777" w:rsidR="0087185D" w:rsidRDefault="00000000">
            <w:pPr>
              <w:spacing w:after="60"/>
            </w:pPr>
            <w:r>
              <w:rPr>
                <w:sz w:val="20"/>
                <w:szCs w:val="20"/>
              </w:rPr>
              <w:t>en IC (La Rovere et al. 1998).</w:t>
            </w:r>
          </w:p>
        </w:tc>
      </w:tr>
    </w:tbl>
    <w:p w14:paraId="1083D5B6" w14:textId="77777777" w:rsidR="0087185D" w:rsidRDefault="0087185D">
      <w:pPr>
        <w:spacing w:after="80"/>
      </w:pPr>
    </w:p>
    <w:p w14:paraId="2CAA67DB" w14:textId="77777777" w:rsidR="0087185D" w:rsidRDefault="00000000">
      <w:r>
        <w:br w:type="page"/>
      </w:r>
    </w:p>
    <w:p w14:paraId="205F1401" w14:textId="77777777" w:rsidR="0087185D" w:rsidRDefault="00000000">
      <w:pPr>
        <w:pStyle w:val="Ttulo1"/>
        <w:spacing w:before="400"/>
      </w:pPr>
      <w:r>
        <w:lastRenderedPageBreak/>
        <w:t>7. ARI en el contexto de los índices diagnósticos aceptados</w:t>
      </w:r>
    </w:p>
    <w:p w14:paraId="7A8F1CDD" w14:textId="77777777" w:rsidR="0087185D" w:rsidRDefault="00000000">
      <w:pPr>
        <w:pStyle w:val="Ttulo2"/>
        <w:spacing w:before="280"/>
      </w:pPr>
      <w:r>
        <w:t>7.1 Limitaciones de los índices actuales que el ARI aborda</w:t>
      </w:r>
    </w:p>
    <w:p w14:paraId="5F533475" w14:textId="77777777" w:rsidR="0087185D" w:rsidRDefault="00000000">
      <w:pPr>
        <w:spacing w:after="160"/>
        <w:jc w:val="both"/>
      </w:pPr>
      <w:r>
        <w:t>Los índices clínicos vigentes (AHI, ODI, T90, hypoxic burden) caracterizan exclusivamente la dimensión hipóxica del SAHS. Son métricas de estímulo: cuántos eventos ocurren, cuán profundos son, cuánto tiempo está el paciente hipóxico. Ninguno evalúa cómo responde el sistema nervioso autónomo a ese estímulo.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805"/>
        <w:gridCol w:w="1986"/>
        <w:gridCol w:w="1625"/>
        <w:gridCol w:w="2166"/>
      </w:tblGrid>
      <w:tr w:rsidR="0087185D" w14:paraId="64FD73F2" w14:textId="77777777">
        <w:trPr>
          <w:tblHeader/>
        </w:trPr>
        <w:tc>
          <w:tcPr>
            <w:tcW w:w="1444"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1610552E" w14:textId="77777777" w:rsidR="0087185D" w:rsidRDefault="00000000">
            <w:pPr>
              <w:jc w:val="center"/>
            </w:pPr>
            <w:r>
              <w:rPr>
                <w:b/>
                <w:bCs/>
                <w:color w:val="FFFFFF"/>
                <w:sz w:val="20"/>
                <w:szCs w:val="20"/>
              </w:rPr>
              <w:t>Índice</w:t>
            </w:r>
          </w:p>
        </w:tc>
        <w:tc>
          <w:tcPr>
            <w:tcW w:w="1805"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0BA0960A" w14:textId="77777777" w:rsidR="0087185D" w:rsidRDefault="00000000">
            <w:pPr>
              <w:jc w:val="center"/>
            </w:pPr>
            <w:r>
              <w:rPr>
                <w:b/>
                <w:bCs/>
                <w:color w:val="FFFFFF"/>
                <w:sz w:val="20"/>
                <w:szCs w:val="20"/>
              </w:rPr>
              <w:t>Qué mide</w:t>
            </w:r>
          </w:p>
        </w:tc>
        <w:tc>
          <w:tcPr>
            <w:tcW w:w="198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2AA8A652" w14:textId="77777777" w:rsidR="0087185D" w:rsidRDefault="00000000">
            <w:pPr>
              <w:jc w:val="center"/>
            </w:pPr>
            <w:r>
              <w:rPr>
                <w:b/>
                <w:bCs/>
                <w:color w:val="FFFFFF"/>
                <w:sz w:val="20"/>
                <w:szCs w:val="20"/>
              </w:rPr>
              <w:t>Señal base</w:t>
            </w:r>
          </w:p>
        </w:tc>
        <w:tc>
          <w:tcPr>
            <w:tcW w:w="1625"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23016378" w14:textId="77777777" w:rsidR="0087185D" w:rsidRDefault="00000000">
            <w:pPr>
              <w:jc w:val="center"/>
            </w:pPr>
            <w:r>
              <w:rPr>
                <w:b/>
                <w:bCs/>
                <w:color w:val="FFFFFF"/>
                <w:sz w:val="20"/>
                <w:szCs w:val="20"/>
              </w:rPr>
              <w:t>Limitación</w:t>
            </w:r>
          </w:p>
        </w:tc>
        <w:tc>
          <w:tcPr>
            <w:tcW w:w="216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0751B79B" w14:textId="77777777" w:rsidR="0087185D" w:rsidRDefault="00000000">
            <w:pPr>
              <w:jc w:val="center"/>
            </w:pPr>
            <w:r>
              <w:rPr>
                <w:b/>
                <w:bCs/>
                <w:color w:val="FFFFFF"/>
                <w:sz w:val="20"/>
                <w:szCs w:val="20"/>
              </w:rPr>
              <w:t>Lo que no captura</w:t>
            </w:r>
          </w:p>
        </w:tc>
      </w:tr>
      <w:tr w:rsidR="0087185D" w14:paraId="2EF116F9" w14:textId="77777777">
        <w:tc>
          <w:tcPr>
            <w:tcW w:w="1444"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6A56056B" w14:textId="77777777" w:rsidR="0087185D" w:rsidRDefault="00000000">
            <w:r>
              <w:rPr>
                <w:b/>
                <w:bCs/>
                <w:sz w:val="20"/>
                <w:szCs w:val="20"/>
              </w:rPr>
              <w:t>AHI</w:t>
            </w:r>
          </w:p>
        </w:tc>
        <w:tc>
          <w:tcPr>
            <w:tcW w:w="1805"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011AD967" w14:textId="77777777" w:rsidR="0087185D" w:rsidRDefault="00000000">
            <w:r>
              <w:rPr>
                <w:sz w:val="20"/>
                <w:szCs w:val="20"/>
              </w:rPr>
              <w:t>Apneas + hipopneas por hora de sueño</w:t>
            </w:r>
          </w:p>
        </w:tc>
        <w:tc>
          <w:tcPr>
            <w:tcW w:w="198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7E12FDBC" w14:textId="77777777" w:rsidR="0087185D" w:rsidRDefault="00000000">
            <w:r>
              <w:rPr>
                <w:sz w:val="20"/>
                <w:szCs w:val="20"/>
              </w:rPr>
              <w:t>Flujo aéreo + SpO₂ (PSG)</w:t>
            </w:r>
          </w:p>
        </w:tc>
        <w:tc>
          <w:tcPr>
            <w:tcW w:w="1625"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399D13C7" w14:textId="77777777" w:rsidR="0087185D" w:rsidRDefault="00000000">
            <w:r>
              <w:rPr>
                <w:sz w:val="20"/>
                <w:szCs w:val="20"/>
              </w:rPr>
              <w:t>Alta variabilidad noche-a-noche (30–50%)</w:t>
            </w:r>
          </w:p>
        </w:tc>
        <w:tc>
          <w:tcPr>
            <w:tcW w:w="216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5A0C8FAF" w14:textId="77777777" w:rsidR="0087185D" w:rsidRDefault="00000000">
            <w:r>
              <w:rPr>
                <w:sz w:val="20"/>
                <w:szCs w:val="20"/>
              </w:rPr>
              <w:t>Profundidad, duración ni respuesta autonómica de cada evento.</w:t>
            </w:r>
          </w:p>
        </w:tc>
      </w:tr>
      <w:tr w:rsidR="0087185D" w14:paraId="248EAABC" w14:textId="77777777">
        <w:tc>
          <w:tcPr>
            <w:tcW w:w="1444"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720B2599" w14:textId="77777777" w:rsidR="0087185D" w:rsidRDefault="00000000">
            <w:r>
              <w:rPr>
                <w:b/>
                <w:bCs/>
                <w:sz w:val="20"/>
                <w:szCs w:val="20"/>
              </w:rPr>
              <w:t>ODI3</w:t>
            </w:r>
          </w:p>
        </w:tc>
        <w:tc>
          <w:tcPr>
            <w:tcW w:w="1805"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30AE41F0" w14:textId="77777777" w:rsidR="0087185D" w:rsidRDefault="00000000">
            <w:r>
              <w:rPr>
                <w:sz w:val="20"/>
                <w:szCs w:val="20"/>
              </w:rPr>
              <w:t>Desaturaciones ≥3% por hora</w:t>
            </w:r>
          </w:p>
        </w:tc>
        <w:tc>
          <w:tcPr>
            <w:tcW w:w="198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2824687C" w14:textId="77777777" w:rsidR="0087185D" w:rsidRDefault="00000000">
            <w:r>
              <w:rPr>
                <w:sz w:val="20"/>
                <w:szCs w:val="20"/>
              </w:rPr>
              <w:t>SpO₂ (oximetría)</w:t>
            </w:r>
          </w:p>
        </w:tc>
        <w:tc>
          <w:tcPr>
            <w:tcW w:w="1625"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17C91DCA" w14:textId="77777777" w:rsidR="0087185D" w:rsidRDefault="00000000">
            <w:r>
              <w:rPr>
                <w:sz w:val="20"/>
                <w:szCs w:val="20"/>
              </w:rPr>
              <w:t>Solo cuenta eventos; umbral fijo</w:t>
            </w:r>
          </w:p>
        </w:tc>
        <w:tc>
          <w:tcPr>
            <w:tcW w:w="216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19887F77" w14:textId="77777777" w:rsidR="0087185D" w:rsidRDefault="00000000">
            <w:r>
              <w:rPr>
                <w:sz w:val="20"/>
                <w:szCs w:val="20"/>
              </w:rPr>
              <w:t>La respuesta autonómica acoplada a cada desaturación.</w:t>
            </w:r>
          </w:p>
        </w:tc>
      </w:tr>
      <w:tr w:rsidR="0087185D" w14:paraId="5A401AEA" w14:textId="77777777">
        <w:tc>
          <w:tcPr>
            <w:tcW w:w="1444"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1038B21C" w14:textId="77777777" w:rsidR="0087185D" w:rsidRDefault="00000000">
            <w:r>
              <w:rPr>
                <w:b/>
                <w:bCs/>
                <w:sz w:val="20"/>
                <w:szCs w:val="20"/>
              </w:rPr>
              <w:t>T90</w:t>
            </w:r>
          </w:p>
        </w:tc>
        <w:tc>
          <w:tcPr>
            <w:tcW w:w="1805"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6A159E68" w14:textId="77777777" w:rsidR="0087185D" w:rsidRDefault="00000000">
            <w:r>
              <w:rPr>
                <w:sz w:val="20"/>
                <w:szCs w:val="20"/>
              </w:rPr>
              <w:t>% tiempo con SpO₂ &lt; 90%</w:t>
            </w:r>
          </w:p>
        </w:tc>
        <w:tc>
          <w:tcPr>
            <w:tcW w:w="198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5A6AEB7F" w14:textId="77777777" w:rsidR="0087185D" w:rsidRDefault="00000000">
            <w:r>
              <w:rPr>
                <w:sz w:val="20"/>
                <w:szCs w:val="20"/>
              </w:rPr>
              <w:t>SpO₂</w:t>
            </w:r>
          </w:p>
        </w:tc>
        <w:tc>
          <w:tcPr>
            <w:tcW w:w="1625"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52D960AB" w14:textId="77777777" w:rsidR="0087185D" w:rsidRDefault="00000000">
            <w:r>
              <w:rPr>
                <w:sz w:val="20"/>
                <w:szCs w:val="20"/>
              </w:rPr>
              <w:t>Métrica de carga acumulada; no resuelve eventos individuales</w:t>
            </w:r>
          </w:p>
        </w:tc>
        <w:tc>
          <w:tcPr>
            <w:tcW w:w="216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785E71C9" w14:textId="77777777" w:rsidR="0087185D" w:rsidRDefault="00000000">
            <w:r>
              <w:rPr>
                <w:sz w:val="20"/>
                <w:szCs w:val="20"/>
              </w:rPr>
              <w:t>Dinámica temporal de cada evento ni activación simpática.</w:t>
            </w:r>
          </w:p>
        </w:tc>
      </w:tr>
      <w:tr w:rsidR="0087185D" w14:paraId="75E94621" w14:textId="77777777">
        <w:tc>
          <w:tcPr>
            <w:tcW w:w="1444"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68555640" w14:textId="77777777" w:rsidR="0087185D" w:rsidRDefault="00000000">
            <w:r>
              <w:rPr>
                <w:b/>
                <w:bCs/>
                <w:sz w:val="20"/>
                <w:szCs w:val="20"/>
              </w:rPr>
              <w:t>Hypoxic burden</w:t>
            </w:r>
          </w:p>
        </w:tc>
        <w:tc>
          <w:tcPr>
            <w:tcW w:w="1805"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2CDACDE3" w14:textId="77777777" w:rsidR="0087185D" w:rsidRDefault="00000000">
            <w:r>
              <w:rPr>
                <w:sz w:val="20"/>
                <w:szCs w:val="20"/>
              </w:rPr>
              <w:t>Área bajo la curva de desaturación por hora</w:t>
            </w:r>
          </w:p>
        </w:tc>
        <w:tc>
          <w:tcPr>
            <w:tcW w:w="198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611941DF" w14:textId="77777777" w:rsidR="0087185D" w:rsidRDefault="00000000">
            <w:r>
              <w:rPr>
                <w:sz w:val="20"/>
                <w:szCs w:val="20"/>
              </w:rPr>
              <w:t>SpO₂</w:t>
            </w:r>
          </w:p>
        </w:tc>
        <w:tc>
          <w:tcPr>
            <w:tcW w:w="1625"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210101FF" w14:textId="77777777" w:rsidR="0087185D" w:rsidRDefault="00000000">
            <w:r>
              <w:rPr>
                <w:sz w:val="20"/>
                <w:szCs w:val="20"/>
              </w:rPr>
              <w:t>Mejor predictor CV que AHI, pero aún solo mide el estímulo</w:t>
            </w:r>
          </w:p>
        </w:tc>
        <w:tc>
          <w:tcPr>
            <w:tcW w:w="216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3EB66263" w14:textId="77777777" w:rsidR="0087185D" w:rsidRDefault="00000000">
            <w:r>
              <w:rPr>
                <w:sz w:val="20"/>
                <w:szCs w:val="20"/>
              </w:rPr>
              <w:t>Cómo responde el SNA a cada desafío hipóxico.</w:t>
            </w:r>
          </w:p>
        </w:tc>
      </w:tr>
      <w:tr w:rsidR="0087185D" w14:paraId="3340AD2A" w14:textId="77777777">
        <w:tc>
          <w:tcPr>
            <w:tcW w:w="1444" w:type="dxa"/>
            <w:tcBorders>
              <w:top w:val="single" w:sz="1" w:space="0" w:color="C8D8E8"/>
              <w:left w:val="single" w:sz="1" w:space="0" w:color="C8D8E8"/>
              <w:bottom w:val="single" w:sz="1" w:space="0" w:color="C8D8E8"/>
              <w:right w:val="single" w:sz="1" w:space="0" w:color="C8D8E8"/>
            </w:tcBorders>
            <w:shd w:val="clear" w:color="auto" w:fill="BBDEFB"/>
            <w:tcMar>
              <w:top w:w="60" w:type="dxa"/>
              <w:left w:w="140" w:type="dxa"/>
              <w:bottom w:w="60" w:type="dxa"/>
              <w:right w:w="140" w:type="dxa"/>
            </w:tcMar>
          </w:tcPr>
          <w:p w14:paraId="11345BD9" w14:textId="77777777" w:rsidR="0087185D" w:rsidRDefault="00000000">
            <w:r>
              <w:rPr>
                <w:b/>
                <w:bCs/>
                <w:sz w:val="20"/>
                <w:szCs w:val="20"/>
              </w:rPr>
              <w:t>ARI</w:t>
            </w:r>
          </w:p>
        </w:tc>
        <w:tc>
          <w:tcPr>
            <w:tcW w:w="1805" w:type="dxa"/>
            <w:tcBorders>
              <w:top w:val="single" w:sz="1" w:space="0" w:color="C8D8E8"/>
              <w:left w:val="single" w:sz="1" w:space="0" w:color="C8D8E8"/>
              <w:bottom w:val="single" w:sz="1" w:space="0" w:color="C8D8E8"/>
              <w:right w:val="single" w:sz="1" w:space="0" w:color="C8D8E8"/>
            </w:tcBorders>
            <w:shd w:val="clear" w:color="auto" w:fill="E3F2FD"/>
            <w:tcMar>
              <w:top w:w="60" w:type="dxa"/>
              <w:left w:w="140" w:type="dxa"/>
              <w:bottom w:w="60" w:type="dxa"/>
              <w:right w:w="140" w:type="dxa"/>
            </w:tcMar>
            <w:vAlign w:val="center"/>
          </w:tcPr>
          <w:p w14:paraId="20B4510D" w14:textId="77777777" w:rsidR="0087185D" w:rsidRDefault="00000000">
            <w:r>
              <w:rPr>
                <w:sz w:val="20"/>
                <w:szCs w:val="20"/>
              </w:rPr>
              <w:t>Ganancia autonómica por evento (FC + Mov / drop)</w:t>
            </w:r>
          </w:p>
        </w:tc>
        <w:tc>
          <w:tcPr>
            <w:tcW w:w="1986" w:type="dxa"/>
            <w:tcBorders>
              <w:top w:val="single" w:sz="1" w:space="0" w:color="C8D8E8"/>
              <w:left w:val="single" w:sz="1" w:space="0" w:color="C8D8E8"/>
              <w:bottom w:val="single" w:sz="1" w:space="0" w:color="C8D8E8"/>
              <w:right w:val="single" w:sz="1" w:space="0" w:color="C8D8E8"/>
            </w:tcBorders>
            <w:shd w:val="clear" w:color="auto" w:fill="E3F2FD"/>
            <w:tcMar>
              <w:top w:w="60" w:type="dxa"/>
              <w:left w:w="140" w:type="dxa"/>
              <w:bottom w:w="60" w:type="dxa"/>
              <w:right w:w="140" w:type="dxa"/>
            </w:tcMar>
            <w:vAlign w:val="center"/>
          </w:tcPr>
          <w:p w14:paraId="4096228F" w14:textId="77777777" w:rsidR="0087185D" w:rsidRDefault="00000000">
            <w:r>
              <w:rPr>
                <w:sz w:val="20"/>
                <w:szCs w:val="20"/>
              </w:rPr>
              <w:t>SpO₂ + FC + MOV (oximetría de dedo)</w:t>
            </w:r>
          </w:p>
        </w:tc>
        <w:tc>
          <w:tcPr>
            <w:tcW w:w="1625" w:type="dxa"/>
            <w:tcBorders>
              <w:top w:val="single" w:sz="1" w:space="0" w:color="C8D8E8"/>
              <w:left w:val="single" w:sz="1" w:space="0" w:color="C8D8E8"/>
              <w:bottom w:val="single" w:sz="1" w:space="0" w:color="C8D8E8"/>
              <w:right w:val="single" w:sz="1" w:space="0" w:color="C8D8E8"/>
            </w:tcBorders>
            <w:shd w:val="clear" w:color="auto" w:fill="E3F2FD"/>
            <w:tcMar>
              <w:top w:w="60" w:type="dxa"/>
              <w:left w:w="140" w:type="dxa"/>
              <w:bottom w:w="60" w:type="dxa"/>
              <w:right w:w="140" w:type="dxa"/>
            </w:tcMar>
            <w:vAlign w:val="center"/>
          </w:tcPr>
          <w:p w14:paraId="5AB8A2B0" w14:textId="77777777" w:rsidR="0087185D" w:rsidRDefault="00000000">
            <w:r>
              <w:rPr>
                <w:sz w:val="20"/>
                <w:szCs w:val="20"/>
              </w:rPr>
              <w:t>Experimental; no validado con outcome clínico prospectivo</w:t>
            </w:r>
          </w:p>
        </w:tc>
        <w:tc>
          <w:tcPr>
            <w:tcW w:w="2166" w:type="dxa"/>
            <w:tcBorders>
              <w:top w:val="single" w:sz="1" w:space="0" w:color="C8D8E8"/>
              <w:left w:val="single" w:sz="1" w:space="0" w:color="C8D8E8"/>
              <w:bottom w:val="single" w:sz="1" w:space="0" w:color="C8D8E8"/>
              <w:right w:val="single" w:sz="1" w:space="0" w:color="C8D8E8"/>
            </w:tcBorders>
            <w:shd w:val="clear" w:color="auto" w:fill="E3F2FD"/>
            <w:tcMar>
              <w:top w:w="60" w:type="dxa"/>
              <w:left w:w="140" w:type="dxa"/>
              <w:bottom w:w="60" w:type="dxa"/>
              <w:right w:w="140" w:type="dxa"/>
            </w:tcMar>
            <w:vAlign w:val="center"/>
          </w:tcPr>
          <w:p w14:paraId="78461280" w14:textId="77777777" w:rsidR="0087185D" w:rsidRDefault="00000000">
            <w:r>
              <w:rPr>
                <w:sz w:val="20"/>
                <w:szCs w:val="20"/>
              </w:rPr>
              <w:t>Eje autonómico independiente: ρ(sev_morfotipo, ARI) = 0.035 [NB02]. Ortogonal a todos los anteriores.</w:t>
            </w:r>
          </w:p>
        </w:tc>
      </w:tr>
    </w:tbl>
    <w:p w14:paraId="533FF70D" w14:textId="77777777" w:rsidR="0087185D" w:rsidRDefault="0087185D">
      <w:pPr>
        <w:spacing w:after="80"/>
      </w:pPr>
    </w:p>
    <w:p w14:paraId="57F5A2E9" w14:textId="77777777" w:rsidR="0087185D" w:rsidRDefault="00000000">
      <w:pPr>
        <w:pStyle w:val="Ttulo2"/>
        <w:spacing w:before="280"/>
      </w:pPr>
      <w:r>
        <w:t>7.2 Complementariedad demostrada empíricamente</w:t>
      </w:r>
    </w:p>
    <w:p w14:paraId="0577A1C9" w14:textId="77777777" w:rsidR="0087185D" w:rsidRDefault="00000000">
      <w:pPr>
        <w:spacing w:after="160"/>
        <w:jc w:val="both"/>
      </w:pPr>
      <w:r>
        <w:t>La clave de la utilidad clínica del ARI es la complementariedad verificada con los índices existentes, no la sustitución. Sobre el corpus:</w:t>
      </w:r>
    </w:p>
    <w:p w14:paraId="59864707" w14:textId="77777777" w:rsidR="0087185D" w:rsidRDefault="00000000">
      <w:pPr>
        <w:pStyle w:val="Prrafodelista"/>
        <w:numPr>
          <w:ilvl w:val="0"/>
          <w:numId w:val="2"/>
        </w:numPr>
        <w:spacing w:after="80"/>
      </w:pPr>
      <w:r>
        <w:t>ρ(ARI, sev_morfotipo) = 0.035 [NB02] · ρ(ARI, drop_pct) = 0.034 [NB03] → El ARI no reduplica la información del ODI ni del T90. Son ejes ortogonales.</w:t>
      </w:r>
    </w:p>
    <w:p w14:paraId="0F5FBB6D" w14:textId="77777777" w:rsidR="0087185D" w:rsidRDefault="00000000">
      <w:pPr>
        <w:pStyle w:val="Prrafodelista"/>
        <w:numPr>
          <w:ilvl w:val="0"/>
          <w:numId w:val="2"/>
        </w:numPr>
        <w:spacing w:after="80"/>
      </w:pPr>
      <w:r>
        <w:t>AUC(ARI para discriminar C4+C5 vs C1–C3) = 0.453 → El ARI no discrimina morfotipos por severidad hipóxica (nivel de azar). No es un proxy encubierto del AHI.</w:t>
      </w:r>
    </w:p>
    <w:p w14:paraId="66A5FCF1" w14:textId="77777777" w:rsidR="0087185D" w:rsidRDefault="00000000">
      <w:pPr>
        <w:pStyle w:val="Prrafodelista"/>
        <w:numPr>
          <w:ilvl w:val="0"/>
          <w:numId w:val="2"/>
        </w:numPr>
        <w:spacing w:after="80"/>
      </w:pPr>
      <w:r>
        <w:t>Within-stratum: dentro de cada estrato de ODI3 (mismo diagnóstico clásico), existen diferencias significativas de ARI entre pacientes (Kruskal-Wallis, p &lt; 0.05). Dos pacientes con el mismo ODI3 pueden tener perfiles autonómicos radicalmente distintos.</w:t>
      </w:r>
    </w:p>
    <w:p w14:paraId="08E59A2C" w14:textId="77777777" w:rsidR="0087185D" w:rsidRDefault="0087185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7492"/>
      </w:tblGrid>
      <w:tr w:rsidR="0087185D" w14:paraId="2DB9EBC3" w14:textId="77777777">
        <w:tc>
          <w:tcPr>
            <w:tcW w:w="1534"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tcPr>
          <w:p w14:paraId="6B583DAF" w14:textId="77777777" w:rsidR="0087185D" w:rsidRDefault="00000000">
            <w:pPr>
              <w:jc w:val="center"/>
            </w:pPr>
            <w:r>
              <w:rPr>
                <w:b/>
                <w:bCs/>
                <w:color w:val="FFFFFF"/>
                <w:sz w:val="20"/>
                <w:szCs w:val="20"/>
              </w:rPr>
              <w:t>Qué añade el ARI al diagnóstico clásico</w:t>
            </w:r>
          </w:p>
        </w:tc>
        <w:tc>
          <w:tcPr>
            <w:tcW w:w="7492" w:type="dxa"/>
            <w:tcBorders>
              <w:top w:val="single" w:sz="1" w:space="0" w:color="C8D8E8"/>
              <w:left w:val="single" w:sz="1" w:space="0" w:color="C8D8E8"/>
              <w:bottom w:val="single" w:sz="1" w:space="0" w:color="C8D8E8"/>
              <w:right w:val="single" w:sz="1" w:space="0" w:color="C8D8E8"/>
            </w:tcBorders>
            <w:shd w:val="clear" w:color="auto" w:fill="EEF5FC"/>
            <w:tcMar>
              <w:top w:w="80" w:type="dxa"/>
              <w:left w:w="140" w:type="dxa"/>
              <w:bottom w:w="80" w:type="dxa"/>
              <w:right w:w="140" w:type="dxa"/>
            </w:tcMar>
          </w:tcPr>
          <w:p w14:paraId="33434927" w14:textId="77777777" w:rsidR="0087185D" w:rsidRDefault="00000000">
            <w:pPr>
              <w:spacing w:after="60"/>
            </w:pPr>
            <w:r>
              <w:rPr>
                <w:sz w:val="20"/>
                <w:szCs w:val="20"/>
              </w:rPr>
              <w:t>AHI = 35 puede corresponder a un paciente con ARI alto</w:t>
            </w:r>
          </w:p>
          <w:p w14:paraId="375A2A45" w14:textId="77777777" w:rsidR="0087185D" w:rsidRDefault="00000000">
            <w:pPr>
              <w:spacing w:after="60"/>
            </w:pPr>
            <w:r>
              <w:rPr>
                <w:sz w:val="20"/>
                <w:szCs w:val="20"/>
              </w:rPr>
              <w:t>(sistema autonómico activo, arousals frecuentes, mayor estrés CV agudo)</w:t>
            </w:r>
          </w:p>
          <w:p w14:paraId="19146F63" w14:textId="77777777" w:rsidR="0087185D" w:rsidRDefault="00000000">
            <w:pPr>
              <w:spacing w:after="60"/>
            </w:pPr>
            <w:r>
              <w:rPr>
                <w:sz w:val="20"/>
                <w:szCs w:val="20"/>
              </w:rPr>
              <w:t>o a uno con ARI bajo (silencio autonómico, agotamiento simpático).</w:t>
            </w:r>
          </w:p>
          <w:p w14:paraId="4001E608" w14:textId="77777777" w:rsidR="0087185D" w:rsidRDefault="00000000">
            <w:pPr>
              <w:spacing w:after="60"/>
            </w:pPr>
            <w:r>
              <w:rPr>
                <w:sz w:val="20"/>
                <w:szCs w:val="20"/>
              </w:rPr>
              <w:t>El AHI no distingue estos dos perfiles. El ARI sí.</w:t>
            </w:r>
          </w:p>
          <w:p w14:paraId="23E29C2C" w14:textId="77777777" w:rsidR="0087185D" w:rsidRDefault="00000000">
            <w:pPr>
              <w:spacing w:after="60"/>
            </w:pPr>
            <w:r>
              <w:rPr>
                <w:sz w:val="20"/>
                <w:szCs w:val="20"/>
              </w:rPr>
              <w:t>Esta distinción tiene implicancias en la elección terapéutica</w:t>
            </w:r>
          </w:p>
          <w:p w14:paraId="478E009A" w14:textId="77777777" w:rsidR="0087185D" w:rsidRDefault="00000000">
            <w:pPr>
              <w:spacing w:after="60"/>
            </w:pPr>
            <w:r>
              <w:rPr>
                <w:sz w:val="20"/>
                <w:szCs w:val="20"/>
              </w:rPr>
              <w:t>y en la estratificación del riesgo cardiovascular.</w:t>
            </w:r>
          </w:p>
        </w:tc>
      </w:tr>
    </w:tbl>
    <w:p w14:paraId="50966D2F" w14:textId="77777777" w:rsidR="0087185D" w:rsidRDefault="0087185D">
      <w:pPr>
        <w:spacing w:after="80"/>
      </w:pPr>
    </w:p>
    <w:p w14:paraId="35E779A5" w14:textId="77777777" w:rsidR="0087185D" w:rsidRDefault="00000000">
      <w:pPr>
        <w:pStyle w:val="Ttulo2"/>
        <w:spacing w:before="280"/>
      </w:pPr>
      <w:r>
        <w:t>7.3 El ARI como capa adicional, no como reemplazo</w:t>
      </w:r>
    </w:p>
    <w:p w14:paraId="0C32730E" w14:textId="77777777" w:rsidR="0087185D" w:rsidRDefault="00000000">
      <w:pPr>
        <w:spacing w:after="160"/>
        <w:jc w:val="both"/>
      </w:pPr>
      <w:r>
        <w:t>El ARI no reemplaza al AHI ni al ODI. Los índices clásicos son el lenguaje diagnóstico establecido, respaldado por décadas de evidencia clínica y criterios regulatorios. El ARI propone una capa adicional de información sobre el mismo registro de oximetría:</w:t>
      </w:r>
    </w:p>
    <w:p w14:paraId="067497D6" w14:textId="77777777" w:rsidR="0087185D" w:rsidRDefault="00000000">
      <w:pPr>
        <w:pStyle w:val="Prrafodelista"/>
        <w:numPr>
          <w:ilvl w:val="0"/>
          <w:numId w:val="2"/>
        </w:numPr>
        <w:spacing w:after="80"/>
      </w:pPr>
      <w:r>
        <w:t>Misma señal, diferente dimensión: el ARI se calcula sobre el oxímetro de dedo que ya se usa para el ODI, añadiendo el canal de FC y movimiento.</w:t>
      </w:r>
    </w:p>
    <w:p w14:paraId="41F1A59D" w14:textId="77777777" w:rsidR="0087185D" w:rsidRDefault="00000000">
      <w:pPr>
        <w:pStyle w:val="Prrafodelista"/>
        <w:numPr>
          <w:ilvl w:val="0"/>
          <w:numId w:val="2"/>
        </w:numPr>
        <w:spacing w:after="80"/>
      </w:pPr>
      <w:r>
        <w:t>No requiere PSG: la información autonómica se extrae de un dispositivo ambulatorio de bajo costo.</w:t>
      </w:r>
    </w:p>
    <w:p w14:paraId="6E6B4CB4" w14:textId="77777777" w:rsidR="0087185D" w:rsidRDefault="00000000">
      <w:pPr>
        <w:pStyle w:val="Prrafodelista"/>
        <w:numPr>
          <w:ilvl w:val="0"/>
          <w:numId w:val="2"/>
        </w:numPr>
        <w:spacing w:after="80"/>
      </w:pPr>
      <w:r>
        <w:t>Granularidad evento-a-evento: mientras el AHI promedia toda la noche, el ARI preserva la distribución intra-noche e intra-paciente.</w:t>
      </w:r>
    </w:p>
    <w:p w14:paraId="256A78F9" w14:textId="77777777" w:rsidR="0087185D" w:rsidRDefault="00000000">
      <w:pPr>
        <w:pStyle w:val="Prrafodelista"/>
        <w:numPr>
          <w:ilvl w:val="0"/>
          <w:numId w:val="2"/>
        </w:numPr>
        <w:spacing w:after="80"/>
      </w:pPr>
      <w:r>
        <w:t>Longitudinal: al acumularse noches, el ARI intraindividual converge y permite seguimiento de la evolución autonómica del paciente.</w:t>
      </w:r>
    </w:p>
    <w:p w14:paraId="00AFAB5F" w14:textId="77777777" w:rsidR="0087185D" w:rsidRDefault="0087185D">
      <w:pPr>
        <w:spacing w:after="80"/>
      </w:pPr>
    </w:p>
    <w:p w14:paraId="6E4E16DA" w14:textId="77777777" w:rsidR="0087185D" w:rsidRDefault="00000000">
      <w:pPr>
        <w:pStyle w:val="Ttulo2"/>
        <w:spacing w:before="280"/>
      </w:pPr>
      <w:r>
        <w:t>7.4 Posicionamiento respecto a la literatura reciente</w:t>
      </w:r>
    </w:p>
    <w:p w14:paraId="44CFA401" w14:textId="77777777" w:rsidR="0087185D" w:rsidRDefault="00000000">
      <w:pPr>
        <w:spacing w:after="160"/>
        <w:jc w:val="both"/>
      </w:pPr>
      <w:r>
        <w:t>La evidencia de los últimos años apunta en la misma dirección que el ARI:</w:t>
      </w:r>
    </w:p>
    <w:p w14:paraId="6CD39480" w14:textId="77777777" w:rsidR="0087185D" w:rsidRDefault="00000000">
      <w:pPr>
        <w:pStyle w:val="Prrafodelista"/>
        <w:numPr>
          <w:ilvl w:val="0"/>
          <w:numId w:val="2"/>
        </w:numPr>
        <w:spacing w:after="80"/>
      </w:pPr>
      <w:r>
        <w:t>Azarbarzin et al. (Eur Heart J, 2019) demostraron que el hypoxic burden predice mortalidad CV mejor que el AHI. El ARI opera en el dominio complementario: la respuesta autonómica a esa carga.</w:t>
      </w:r>
    </w:p>
    <w:p w14:paraId="0BF4E00C" w14:textId="77777777" w:rsidR="0087185D" w:rsidRDefault="00000000">
      <w:pPr>
        <w:pStyle w:val="Prrafodelista"/>
        <w:numPr>
          <w:ilvl w:val="0"/>
          <w:numId w:val="2"/>
        </w:numPr>
        <w:spacing w:after="80"/>
      </w:pPr>
      <w:r>
        <w:t>El taller de la FDA sobre SAHS (Freedman, Patil, 2018) señaló explícitamente la necesidad de endpoints más allá del AHI, incluyendo métricas fisiológicas de impacto sistémico.</w:t>
      </w:r>
    </w:p>
    <w:p w14:paraId="4C43F544" w14:textId="77777777" w:rsidR="0087185D" w:rsidRDefault="00000000">
      <w:pPr>
        <w:pStyle w:val="Prrafodelista"/>
        <w:numPr>
          <w:ilvl w:val="0"/>
          <w:numId w:val="2"/>
        </w:numPr>
        <w:spacing w:after="80"/>
      </w:pPr>
      <w:r>
        <w:t>La línea de investigación sobre "autonomic loop" en apnea del sueño (Narkiewicz &amp; Somers 2003, Prabhakar 2016) predice exactamente el tipo de desensibilización que el ARI detecta en C5.</w:t>
      </w:r>
    </w:p>
    <w:p w14:paraId="6625016D" w14:textId="77777777" w:rsidR="0087185D" w:rsidRDefault="0087185D">
      <w:pPr>
        <w:spacing w:after="80"/>
      </w:pPr>
    </w:p>
    <w:p w14:paraId="34B496A1" w14:textId="77777777" w:rsidR="0087185D" w:rsidRDefault="00000000">
      <w:pPr>
        <w:pStyle w:val="Ttulo1"/>
        <w:spacing w:before="400"/>
      </w:pPr>
      <w:r>
        <w:t>8. Estabilidad longitudinal del ARI</w:t>
      </w:r>
    </w:p>
    <w:p w14:paraId="0F0364C6" w14:textId="77777777" w:rsidR="0087185D" w:rsidRDefault="00000000">
      <w:pPr>
        <w:spacing w:after="160"/>
        <w:jc w:val="both"/>
      </w:pPr>
      <w:r>
        <w:t>Una de las críticas más frecuentes a los índices de sueño es su variabilidad noche a noche. El AHI puede variar ±50% entre registros del mismo paciente. El ARI muestra un perfil de estabilidad más favorable:</w:t>
      </w:r>
    </w:p>
    <w:p w14:paraId="103DC1F2" w14:textId="77777777" w:rsidR="0087185D" w:rsidRDefault="00000000">
      <w:pPr>
        <w:pStyle w:val="Prrafodelista"/>
        <w:numPr>
          <w:ilvl w:val="0"/>
          <w:numId w:val="2"/>
        </w:numPr>
        <w:spacing w:after="80"/>
      </w:pPr>
      <w:r>
        <w:t>Bootstrap de estabilización: el error de estimación del ARI intraindividual cae progresivamente con el número de noches disponibles. Convergencia práctica a partir de 7 noches.</w:t>
      </w:r>
    </w:p>
    <w:p w14:paraId="2C46155E" w14:textId="77777777" w:rsidR="0087185D" w:rsidRDefault="00000000">
      <w:pPr>
        <w:pStyle w:val="Prrafodelista"/>
        <w:numPr>
          <w:ilvl w:val="0"/>
          <w:numId w:val="2"/>
        </w:numPr>
        <w:spacing w:after="80"/>
      </w:pPr>
      <w:r>
        <w:lastRenderedPageBreak/>
        <w:t>Correlación con referencia multi-noche: ~0.97 ya desde la primera noche disponible — el ARI captura la señal interindividual incluso con un único registro.</w:t>
      </w:r>
    </w:p>
    <w:p w14:paraId="17AE7052" w14:textId="77777777" w:rsidR="0087185D" w:rsidRDefault="00000000">
      <w:pPr>
        <w:pStyle w:val="Prrafodelista"/>
        <w:numPr>
          <w:ilvl w:val="0"/>
          <w:numId w:val="2"/>
        </w:numPr>
        <w:spacing w:after="80"/>
      </w:pPr>
      <w:r>
        <w:t>Estabilidad relativa superior al AHI: la mayor estabilidad del ARI puede atribuirse a que mide una propiedad fisiológica relativamente constante del sistema autonómico del paciente (su umbral de respuesta), en lugar de un recuento de eventos que fluctúa con posición corporal, consumo de alcohol y arquitectura de sueño.</w:t>
      </w:r>
    </w:p>
    <w:p w14:paraId="1A17C3F9" w14:textId="77777777" w:rsidR="0087185D" w:rsidRDefault="00000000">
      <w:pPr>
        <w:spacing w:after="160"/>
        <w:jc w:val="both"/>
      </w:pPr>
      <w:r>
        <w:t>Esto valida el uso del ARI como métrica clínica estable para fenotipado longitudinal.</w:t>
      </w:r>
    </w:p>
    <w:p w14:paraId="1CC5D431" w14:textId="77777777" w:rsidR="0087185D" w:rsidRDefault="0087185D">
      <w:pPr>
        <w:spacing w:after="80"/>
      </w:pPr>
    </w:p>
    <w:p w14:paraId="6C6A2022" w14:textId="77777777" w:rsidR="0087185D" w:rsidRDefault="00000000">
      <w:pPr>
        <w:pStyle w:val="Ttulo1"/>
        <w:spacing w:before="400"/>
      </w:pPr>
      <w:r>
        <w:t>9. Limitaciones actuales</w:t>
      </w:r>
    </w:p>
    <w:p w14:paraId="3E5FAB5E" w14:textId="77777777" w:rsidR="0087185D" w:rsidRDefault="00000000">
      <w:pPr>
        <w:pStyle w:val="Prrafodelista"/>
        <w:numPr>
          <w:ilvl w:val="0"/>
          <w:numId w:val="2"/>
        </w:numPr>
        <w:spacing w:after="80"/>
      </w:pPr>
      <w:r>
        <w:t>Sin PSG de referencia: No es posible distinguir arousals corticales de subcorticales ni clasificar el tipo de evento respiratorio (apnea obstructiva vs central). La FC y el MOV son proxies indirectos de la activación autonómica.</w:t>
      </w:r>
    </w:p>
    <w:p w14:paraId="773E0817" w14:textId="77777777" w:rsidR="0087185D" w:rsidRDefault="00000000">
      <w:pPr>
        <w:pStyle w:val="Prrafodelista"/>
        <w:numPr>
          <w:ilvl w:val="0"/>
          <w:numId w:val="2"/>
        </w:numPr>
        <w:spacing w:after="80"/>
      </w:pPr>
      <w:r>
        <w:t>Señales de oxímetro de dedo: La FC derivada de PPG y el movimiento del sensor tienen limitaciones conocidas (artefactos de movimiento, latencia). Se aplican criterios de calidad de señal estrictos (in_quality = True) para mitigar este efecto.</w:t>
      </w:r>
    </w:p>
    <w:p w14:paraId="21C95D7B" w14:textId="77777777" w:rsidR="0087185D" w:rsidRDefault="00000000">
      <w:pPr>
        <w:pStyle w:val="Prrafodelista"/>
        <w:numPr>
          <w:ilvl w:val="0"/>
          <w:numId w:val="2"/>
        </w:numPr>
        <w:spacing w:after="80"/>
      </w:pPr>
      <w:r>
        <w:t>Corpus limitado: Los 12 pacientes corresponden a un perfil de SAHS moderado-grave adulto en condición placebo. La generalización a poblaciones con SAHS leve, apnea central, población pediátrica o pacientes con comorbilidades autonómicas relevantes (diabetes, IC) requiere validación específica.</w:t>
      </w:r>
    </w:p>
    <w:p w14:paraId="45140C94" w14:textId="77777777" w:rsidR="0087185D" w:rsidRDefault="00000000">
      <w:pPr>
        <w:pStyle w:val="Prrafodelista"/>
        <w:numPr>
          <w:ilvl w:val="0"/>
          <w:numId w:val="2"/>
        </w:numPr>
        <w:spacing w:after="80"/>
      </w:pPr>
      <w:r>
        <w:t>Pesos del ARI no optimizados: Los pesos 0.6/0.4 (FC/MOV) son decisiones de diseño razonadas pero no formalmente optimizadas. Una validación prospectiva contra un outcome clínico duro (eventos cardiovasculares, adherencia a CPAP, respuesta a tratamiento mandibular) permitiría ajustarlos estadísticamente.</w:t>
      </w:r>
    </w:p>
    <w:p w14:paraId="2D335BE3" w14:textId="77777777" w:rsidR="0087185D" w:rsidRDefault="00000000">
      <w:pPr>
        <w:pStyle w:val="Prrafodelista"/>
        <w:numPr>
          <w:ilvl w:val="0"/>
          <w:numId w:val="2"/>
        </w:numPr>
        <w:spacing w:after="80"/>
      </w:pPr>
      <w:r>
        <w:t>Condición experimental (fortaleza metodológica): El corpus analizado corresponde exclusivamente a la condición placebo del dispositivo SOMNI 6000 (sin estimulación TENS), lo que garantiza que los incrementos de FC y movimiento reflejan respuesta autonómica pura, sin confusión por estímulo externo.</w:t>
      </w:r>
    </w:p>
    <w:p w14:paraId="2658F04E" w14:textId="77777777" w:rsidR="0087185D" w:rsidRDefault="00000000">
      <w:pPr>
        <w:pStyle w:val="Prrafodelista"/>
        <w:numPr>
          <w:ilvl w:val="0"/>
          <w:numId w:val="2"/>
        </w:numPr>
        <w:spacing w:after="80"/>
      </w:pPr>
      <w:r>
        <w:t>Sin validación cruzada prospectiva: El ARI es actualmente un índice derivado de datos observacionales. La validación como biomarcador clínico requiere un estudio prospectivo con outcomes definidos a priori.</w:t>
      </w:r>
    </w:p>
    <w:p w14:paraId="3D0795D6" w14:textId="77777777" w:rsidR="0087185D" w:rsidRDefault="0087185D">
      <w:pPr>
        <w:spacing w:after="80"/>
      </w:pPr>
    </w:p>
    <w:p w14:paraId="670C00BE" w14:textId="77777777" w:rsidR="0087185D" w:rsidRDefault="00000000">
      <w:r>
        <w:br w:type="page"/>
      </w:r>
    </w:p>
    <w:p w14:paraId="5285563C" w14:textId="77777777" w:rsidR="0087185D" w:rsidRDefault="00000000">
      <w:pPr>
        <w:pStyle w:val="Ttulo1"/>
        <w:spacing w:before="400"/>
      </w:pPr>
      <w:r>
        <w:lastRenderedPageBreak/>
        <w:t>Resumen ejecutivo</w:t>
      </w:r>
    </w:p>
    <w:p w14:paraId="604A1423" w14:textId="77777777" w:rsidR="0087185D" w:rsidRDefault="0087185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7492"/>
      </w:tblGrid>
      <w:tr w:rsidR="0087185D" w14:paraId="59A276C7" w14:textId="77777777">
        <w:tc>
          <w:tcPr>
            <w:tcW w:w="1534"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tcPr>
          <w:p w14:paraId="14F3627A" w14:textId="77777777" w:rsidR="0087185D" w:rsidRDefault="00000000">
            <w:pPr>
              <w:jc w:val="center"/>
            </w:pPr>
            <w:r>
              <w:rPr>
                <w:b/>
                <w:bCs/>
                <w:color w:val="FFFFFF"/>
                <w:sz w:val="20"/>
                <w:szCs w:val="20"/>
              </w:rPr>
              <w:t>En una frase</w:t>
            </w:r>
          </w:p>
        </w:tc>
        <w:tc>
          <w:tcPr>
            <w:tcW w:w="7492" w:type="dxa"/>
            <w:tcBorders>
              <w:top w:val="single" w:sz="1" w:space="0" w:color="C8D8E8"/>
              <w:left w:val="single" w:sz="1" w:space="0" w:color="C8D8E8"/>
              <w:bottom w:val="single" w:sz="1" w:space="0" w:color="C8D8E8"/>
              <w:right w:val="single" w:sz="1" w:space="0" w:color="C8D8E8"/>
            </w:tcBorders>
            <w:shd w:val="clear" w:color="auto" w:fill="CCDDF0"/>
            <w:tcMar>
              <w:top w:w="80" w:type="dxa"/>
              <w:left w:w="140" w:type="dxa"/>
              <w:bottom w:w="80" w:type="dxa"/>
              <w:right w:w="140" w:type="dxa"/>
            </w:tcMar>
          </w:tcPr>
          <w:p w14:paraId="58159B0A" w14:textId="77777777" w:rsidR="0087185D" w:rsidRDefault="00000000">
            <w:pPr>
              <w:spacing w:after="60"/>
            </w:pPr>
            <w:r>
              <w:rPr>
                <w:sz w:val="20"/>
                <w:szCs w:val="20"/>
              </w:rPr>
              <w:t>El ARI mide cuánta respuesta autonómica (FC + movimiento) genera el organismo</w:t>
            </w:r>
          </w:p>
          <w:p w14:paraId="4FE9BBBA" w14:textId="77777777" w:rsidR="0087185D" w:rsidRDefault="00000000">
            <w:pPr>
              <w:spacing w:after="60"/>
            </w:pPr>
            <w:r>
              <w:rPr>
                <w:sz w:val="20"/>
                <w:szCs w:val="20"/>
              </w:rPr>
              <w:t>por unidad de caída de SpO₂, como índice adimensional corpus-normalizado,</w:t>
            </w:r>
          </w:p>
          <w:p w14:paraId="54D3BA64" w14:textId="77777777" w:rsidR="0087185D" w:rsidRDefault="00000000">
            <w:pPr>
              <w:spacing w:after="60"/>
            </w:pPr>
            <w:r>
              <w:rPr>
                <w:sz w:val="20"/>
                <w:szCs w:val="20"/>
              </w:rPr>
              <w:t>completamente ortogonal a los índices hipóxicos clásicos (AHI, ODI, T90).</w:t>
            </w:r>
          </w:p>
        </w:tc>
      </w:tr>
    </w:tbl>
    <w:p w14:paraId="48B39213" w14:textId="77777777" w:rsidR="0087185D" w:rsidRDefault="0087185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867"/>
      </w:tblGrid>
      <w:tr w:rsidR="0087185D" w14:paraId="5538B3C2" w14:textId="77777777">
        <w:trPr>
          <w:tblHeader/>
        </w:trPr>
        <w:tc>
          <w:tcPr>
            <w:tcW w:w="3159"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2BF7BE51" w14:textId="77777777" w:rsidR="0087185D" w:rsidRDefault="00000000">
            <w:pPr>
              <w:jc w:val="center"/>
            </w:pPr>
            <w:r>
              <w:rPr>
                <w:b/>
                <w:bCs/>
                <w:color w:val="FFFFFF"/>
                <w:sz w:val="20"/>
                <w:szCs w:val="20"/>
              </w:rPr>
              <w:t>Pregunta</w:t>
            </w:r>
          </w:p>
        </w:tc>
        <w:tc>
          <w:tcPr>
            <w:tcW w:w="5867" w:type="dxa"/>
            <w:tcBorders>
              <w:top w:val="single" w:sz="4" w:space="0" w:color="8BAED0"/>
              <w:left w:val="single" w:sz="4" w:space="0" w:color="8BAED0"/>
              <w:bottom w:val="single" w:sz="4" w:space="0" w:color="8BAED0"/>
              <w:right w:val="single" w:sz="4" w:space="0" w:color="8BAED0"/>
            </w:tcBorders>
            <w:shd w:val="clear" w:color="auto" w:fill="1F3864"/>
            <w:tcMar>
              <w:top w:w="80" w:type="dxa"/>
              <w:left w:w="140" w:type="dxa"/>
              <w:bottom w:w="80" w:type="dxa"/>
              <w:right w:w="140" w:type="dxa"/>
            </w:tcMar>
            <w:vAlign w:val="center"/>
          </w:tcPr>
          <w:p w14:paraId="5A4CF3FA" w14:textId="77777777" w:rsidR="0087185D" w:rsidRDefault="00000000">
            <w:pPr>
              <w:jc w:val="center"/>
            </w:pPr>
            <w:r>
              <w:rPr>
                <w:b/>
                <w:bCs/>
                <w:color w:val="FFFFFF"/>
                <w:sz w:val="20"/>
                <w:szCs w:val="20"/>
              </w:rPr>
              <w:t>Respuesta</w:t>
            </w:r>
          </w:p>
        </w:tc>
      </w:tr>
      <w:tr w:rsidR="0087185D" w14:paraId="77D8B5EF" w14:textId="77777777">
        <w:tc>
          <w:tcPr>
            <w:tcW w:w="3159"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7B54EF91" w14:textId="77777777" w:rsidR="0087185D" w:rsidRDefault="00000000">
            <w:r>
              <w:rPr>
                <w:b/>
                <w:bCs/>
                <w:sz w:val="20"/>
                <w:szCs w:val="20"/>
              </w:rPr>
              <w:t>¿Qué mide?</w:t>
            </w:r>
          </w:p>
        </w:tc>
        <w:tc>
          <w:tcPr>
            <w:tcW w:w="5867"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04778291" w14:textId="77777777" w:rsidR="0087185D" w:rsidRDefault="00000000">
            <w:r>
              <w:rPr>
                <w:sz w:val="20"/>
                <w:szCs w:val="20"/>
              </w:rPr>
              <w:t>Ganancia autonómica por evento: respuesta de FC y movimiento normalizada por la profundidad de la caída de SpO₂.</w:t>
            </w:r>
          </w:p>
        </w:tc>
      </w:tr>
      <w:tr w:rsidR="0087185D" w14:paraId="3BC5A1AC" w14:textId="77777777">
        <w:tc>
          <w:tcPr>
            <w:tcW w:w="3159"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4FC89A0B" w14:textId="77777777" w:rsidR="0087185D" w:rsidRDefault="00000000">
            <w:r>
              <w:rPr>
                <w:b/>
                <w:bCs/>
                <w:sz w:val="20"/>
                <w:szCs w:val="20"/>
              </w:rPr>
              <w:t>¿Fórmula?</w:t>
            </w:r>
          </w:p>
        </w:tc>
        <w:tc>
          <w:tcPr>
            <w:tcW w:w="5867"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5DCA7A60" w14:textId="77777777" w:rsidR="0087185D" w:rsidRDefault="00000000">
            <w:r>
              <w:rPr>
                <w:sz w:val="20"/>
                <w:szCs w:val="20"/>
              </w:rPr>
              <w:t>ARIᵢ = 0.6·P(Δhr/drop) + 0.4·P(ΔMov/drop)   [percentilizado corpus-wide, N=85 277 EDOs]</w:t>
            </w:r>
          </w:p>
        </w:tc>
      </w:tr>
      <w:tr w:rsidR="0087185D" w14:paraId="4FC84079" w14:textId="77777777">
        <w:tc>
          <w:tcPr>
            <w:tcW w:w="3159"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27D8136F" w14:textId="77777777" w:rsidR="0087185D" w:rsidRDefault="00000000">
            <w:r>
              <w:rPr>
                <w:b/>
                <w:bCs/>
                <w:sz w:val="20"/>
                <w:szCs w:val="20"/>
              </w:rPr>
              <w:t>¿Por qué dos componentes?</w:t>
            </w:r>
          </w:p>
        </w:tc>
        <w:tc>
          <w:tcPr>
            <w:tcW w:w="5867"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276E5BE6" w14:textId="77777777" w:rsidR="0087185D" w:rsidRDefault="00000000">
            <w:r>
              <w:rPr>
                <w:sz w:val="20"/>
                <w:szCs w:val="20"/>
              </w:rPr>
              <w:t>FC refleja el brazo cardíaco simpático del arousal; MOV refleja el componente motor. Son dos manifestaciones de la misma activación autonómica.</w:t>
            </w:r>
          </w:p>
        </w:tc>
      </w:tr>
      <w:tr w:rsidR="0087185D" w14:paraId="22A78F32" w14:textId="77777777">
        <w:tc>
          <w:tcPr>
            <w:tcW w:w="3159"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505E4B75" w14:textId="77777777" w:rsidR="0087185D" w:rsidRDefault="00000000">
            <w:r>
              <w:rPr>
                <w:b/>
                <w:bCs/>
                <w:sz w:val="20"/>
                <w:szCs w:val="20"/>
              </w:rPr>
              <w:t>¿Es independiente del AHI/ODI?</w:t>
            </w:r>
          </w:p>
        </w:tc>
        <w:tc>
          <w:tcPr>
            <w:tcW w:w="5867"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4C8197C0" w14:textId="77777777" w:rsidR="0087185D" w:rsidRDefault="00000000">
            <w:r>
              <w:rPr>
                <w:sz w:val="20"/>
                <w:szCs w:val="20"/>
              </w:rPr>
              <w:t>Sí. ρ(ARI, sev_morfotipo) = 0.035 [NB02] · ρ(ARI, drop_pct) = 0.034 [NB03]. Eje autonómico verificado sobre 85 277 eventos. No reduplica la información hipóxica.</w:t>
            </w:r>
          </w:p>
        </w:tc>
      </w:tr>
      <w:tr w:rsidR="0087185D" w14:paraId="04A7C050" w14:textId="77777777">
        <w:tc>
          <w:tcPr>
            <w:tcW w:w="3159"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112D40F7" w14:textId="77777777" w:rsidR="0087185D" w:rsidRDefault="00000000">
            <w:r>
              <w:rPr>
                <w:b/>
                <w:bCs/>
                <w:sz w:val="20"/>
                <w:szCs w:val="20"/>
              </w:rPr>
              <w:t>Hallazgo más llamativo</w:t>
            </w:r>
          </w:p>
        </w:tc>
        <w:tc>
          <w:tcPr>
            <w:tcW w:w="5867"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1022085E" w14:textId="77777777" w:rsidR="0087185D" w:rsidRDefault="00000000">
            <w:r>
              <w:rPr>
                <w:sz w:val="20"/>
                <w:szCs w:val="20"/>
              </w:rPr>
              <w:t>C5 (morfotipo más severo) tiene HR gain mediana de 0.040 vs 0.633 en C1. Silencio autonómico ante la mayor hipoxia. Patrón paradójico consistente con desensibilización simpática.</w:t>
            </w:r>
          </w:p>
        </w:tc>
      </w:tr>
      <w:tr w:rsidR="0087185D" w14:paraId="5D861B77" w14:textId="77777777">
        <w:tc>
          <w:tcPr>
            <w:tcW w:w="3159"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32897F73" w14:textId="77777777" w:rsidR="0087185D" w:rsidRDefault="00000000">
            <w:r>
              <w:rPr>
                <w:b/>
                <w:bCs/>
                <w:sz w:val="20"/>
                <w:szCs w:val="20"/>
              </w:rPr>
              <w:t>¿ARI alto es bueno o malo?</w:t>
            </w:r>
          </w:p>
        </w:tc>
        <w:tc>
          <w:tcPr>
            <w:tcW w:w="5867"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5FEB3611" w14:textId="77777777" w:rsidR="0087185D" w:rsidRDefault="00000000">
            <w:r>
              <w:rPr>
                <w:sz w:val="20"/>
                <w:szCs w:val="20"/>
              </w:rPr>
              <w:t>Depende del contexto. En paciente leve: sistema autonómico reactivo normal. En paciente severo: mayor estrés simpático crónico acumulado.</w:t>
            </w:r>
          </w:p>
        </w:tc>
      </w:tr>
      <w:tr w:rsidR="0087185D" w14:paraId="64887F24" w14:textId="77777777">
        <w:tc>
          <w:tcPr>
            <w:tcW w:w="3159"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7CD896A5" w14:textId="77777777" w:rsidR="0087185D" w:rsidRDefault="00000000">
            <w:r>
              <w:rPr>
                <w:b/>
                <w:bCs/>
                <w:sz w:val="20"/>
                <w:szCs w:val="20"/>
              </w:rPr>
              <w:t>¿ARI bajo es patológico?</w:t>
            </w:r>
          </w:p>
        </w:tc>
        <w:tc>
          <w:tcPr>
            <w:tcW w:w="5867"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1C181FCB" w14:textId="77777777" w:rsidR="0087185D" w:rsidRDefault="00000000">
            <w:r>
              <w:rPr>
                <w:sz w:val="20"/>
                <w:szCs w:val="20"/>
              </w:rPr>
              <w:t>En pacientes con alta carga hipóxica (Cuadrante IV), sí: sugiere agotamiento simpático. En pacientes leves puede ser normal.</w:t>
            </w:r>
          </w:p>
        </w:tc>
      </w:tr>
      <w:tr w:rsidR="0087185D" w14:paraId="739F9CFA" w14:textId="77777777">
        <w:tc>
          <w:tcPr>
            <w:tcW w:w="3159"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63828475" w14:textId="77777777" w:rsidR="0087185D" w:rsidRDefault="00000000">
            <w:r>
              <w:rPr>
                <w:b/>
                <w:bCs/>
                <w:sz w:val="20"/>
                <w:szCs w:val="20"/>
              </w:rPr>
              <w:t>¿Reemplaza al AHI/ODI?</w:t>
            </w:r>
          </w:p>
        </w:tc>
        <w:tc>
          <w:tcPr>
            <w:tcW w:w="5867" w:type="dxa"/>
            <w:tcBorders>
              <w:top w:val="single" w:sz="1" w:space="0" w:color="C8D8E8"/>
              <w:left w:val="single" w:sz="1" w:space="0" w:color="C8D8E8"/>
              <w:bottom w:val="single" w:sz="1" w:space="0" w:color="C8D8E8"/>
              <w:right w:val="single" w:sz="1" w:space="0" w:color="C8D8E8"/>
            </w:tcBorders>
            <w:shd w:val="clear" w:color="auto" w:fill="EEF5FC"/>
            <w:tcMar>
              <w:top w:w="60" w:type="dxa"/>
              <w:left w:w="140" w:type="dxa"/>
              <w:bottom w:w="60" w:type="dxa"/>
              <w:right w:w="140" w:type="dxa"/>
            </w:tcMar>
            <w:vAlign w:val="center"/>
          </w:tcPr>
          <w:p w14:paraId="21206A6D" w14:textId="77777777" w:rsidR="0087185D" w:rsidRDefault="00000000">
            <w:r>
              <w:rPr>
                <w:sz w:val="20"/>
                <w:szCs w:val="20"/>
              </w:rPr>
              <w:t>No. Es una capa adicional sobre la misma señal de oximetría. AHI y ODI caracterizan el estímulo; el ARI caracteriza la respuesta autonómica a ese estímulo.</w:t>
            </w:r>
          </w:p>
        </w:tc>
      </w:tr>
      <w:tr w:rsidR="0087185D" w14:paraId="55DC8B4D" w14:textId="77777777">
        <w:tc>
          <w:tcPr>
            <w:tcW w:w="3159" w:type="dxa"/>
            <w:tcBorders>
              <w:top w:val="single" w:sz="1" w:space="0" w:color="C8D8E8"/>
              <w:left w:val="single" w:sz="1" w:space="0" w:color="C8D8E8"/>
              <w:bottom w:val="single" w:sz="1" w:space="0" w:color="C8D8E8"/>
              <w:right w:val="single" w:sz="1" w:space="0" w:color="C8D8E8"/>
            </w:tcBorders>
            <w:shd w:val="clear" w:color="auto" w:fill="CCDDF0"/>
            <w:tcMar>
              <w:top w:w="60" w:type="dxa"/>
              <w:left w:w="140" w:type="dxa"/>
              <w:bottom w:w="60" w:type="dxa"/>
              <w:right w:w="140" w:type="dxa"/>
            </w:tcMar>
          </w:tcPr>
          <w:p w14:paraId="4D562AAA" w14:textId="77777777" w:rsidR="0087185D" w:rsidRDefault="00000000">
            <w:r>
              <w:rPr>
                <w:b/>
                <w:bCs/>
                <w:sz w:val="20"/>
                <w:szCs w:val="20"/>
              </w:rPr>
              <w:t>Utilidad clínica potencial</w:t>
            </w:r>
          </w:p>
        </w:tc>
        <w:tc>
          <w:tcPr>
            <w:tcW w:w="5867"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40" w:type="dxa"/>
            </w:tcMar>
            <w:vAlign w:val="center"/>
          </w:tcPr>
          <w:p w14:paraId="7DAFA1BB" w14:textId="77777777" w:rsidR="0087185D" w:rsidRDefault="00000000">
            <w:r>
              <w:rPr>
                <w:sz w:val="20"/>
                <w:szCs w:val="20"/>
              </w:rPr>
              <w:t>Fenotipado autonómico, estratificación de riesgo cardiovascular dentro del mismo estrato de AHI, monitoreo de evolución bajo tratamiento (CPAP, dispositivo mandibular).</w:t>
            </w:r>
          </w:p>
        </w:tc>
      </w:tr>
    </w:tbl>
    <w:p w14:paraId="08D8F94B" w14:textId="77777777" w:rsidR="0087185D" w:rsidRDefault="0087185D">
      <w:pPr>
        <w:spacing w:after="80"/>
      </w:pPr>
    </w:p>
    <w:p w14:paraId="06E07071" w14:textId="77777777" w:rsidR="0087185D" w:rsidRDefault="00000000">
      <w:pPr>
        <w:pStyle w:val="Ttulo2"/>
        <w:spacing w:before="280"/>
      </w:pPr>
      <w:r>
        <w:t>Referencias</w:t>
      </w:r>
    </w:p>
    <w:p w14:paraId="6B464962" w14:textId="77777777" w:rsidR="0087185D" w:rsidRDefault="00000000">
      <w:pPr>
        <w:spacing w:after="120"/>
        <w:ind w:left="400"/>
      </w:pPr>
      <w:r>
        <w:rPr>
          <w:i/>
          <w:iCs/>
          <w:color w:val="555555"/>
          <w:sz w:val="20"/>
          <w:szCs w:val="20"/>
        </w:rPr>
        <w:t>Azarbarzin A et al. The hypoxic burden of sleep apnoea predicts cardiovascular disease-related mortality. Eur Heart J. 2019;40(14):1149-1157.</w:t>
      </w:r>
    </w:p>
    <w:p w14:paraId="027A267F" w14:textId="77777777" w:rsidR="0087185D" w:rsidRDefault="00000000">
      <w:pPr>
        <w:spacing w:after="120"/>
        <w:ind w:left="400"/>
      </w:pPr>
      <w:r>
        <w:rPr>
          <w:i/>
          <w:iCs/>
          <w:color w:val="555555"/>
          <w:sz w:val="20"/>
          <w:szCs w:val="20"/>
        </w:rPr>
        <w:t>Bittencourt LR et al. Intraindividual night-to-night variability in sleep-disordered breathing. J Sleep Res. 2001.</w:t>
      </w:r>
    </w:p>
    <w:p w14:paraId="23238D36" w14:textId="77777777" w:rsidR="0087185D" w:rsidRDefault="00000000">
      <w:pPr>
        <w:spacing w:after="120"/>
        <w:ind w:left="400"/>
      </w:pPr>
      <w:r>
        <w:rPr>
          <w:i/>
          <w:iCs/>
          <w:color w:val="555555"/>
          <w:sz w:val="20"/>
          <w:szCs w:val="20"/>
        </w:rPr>
        <w:t>Freedman N. FDA Workshop — Technologies for Diagnosis of Sleep-Disordered Breathing. 2018.</w:t>
      </w:r>
    </w:p>
    <w:p w14:paraId="25ED1781" w14:textId="77777777" w:rsidR="0087185D" w:rsidRDefault="00000000">
      <w:pPr>
        <w:spacing w:after="120"/>
        <w:ind w:left="400"/>
      </w:pPr>
      <w:r>
        <w:rPr>
          <w:i/>
          <w:iCs/>
          <w:color w:val="555555"/>
          <w:sz w:val="20"/>
          <w:szCs w:val="20"/>
        </w:rPr>
        <w:lastRenderedPageBreak/>
        <w:t>La Rovere MT et al. Baroreflex sensitivity and heart-rate variability in prediction of total cardiac mortality after myocardial infarction. Lancet. 1998;351(9101):478-484.</w:t>
      </w:r>
    </w:p>
    <w:p w14:paraId="13AB73E7" w14:textId="77777777" w:rsidR="0087185D" w:rsidRDefault="00000000">
      <w:pPr>
        <w:spacing w:after="120"/>
        <w:ind w:left="400"/>
      </w:pPr>
      <w:r>
        <w:rPr>
          <w:i/>
          <w:iCs/>
          <w:color w:val="555555"/>
          <w:sz w:val="20"/>
          <w:szCs w:val="20"/>
        </w:rPr>
        <w:t>Levendowski DJ et al. Relationship between sleep-disordered breathing, sleep staging, and age. J Clin Sleep Med. 2009.</w:t>
      </w:r>
    </w:p>
    <w:p w14:paraId="338A15B3" w14:textId="77777777" w:rsidR="0087185D" w:rsidRDefault="00000000">
      <w:pPr>
        <w:spacing w:after="120"/>
        <w:ind w:left="400"/>
      </w:pPr>
      <w:r>
        <w:rPr>
          <w:i/>
          <w:iCs/>
          <w:color w:val="555555"/>
          <w:sz w:val="20"/>
          <w:szCs w:val="20"/>
        </w:rPr>
        <w:t>Narkiewicz K, Somers VK. Sympathetic nerve activity in obstructive sleep apnoea. Acta Physiol Scand. 2003;177(3):385-390.</w:t>
      </w:r>
    </w:p>
    <w:p w14:paraId="536F3105" w14:textId="77777777" w:rsidR="0087185D" w:rsidRDefault="00000000">
      <w:pPr>
        <w:spacing w:after="120"/>
        <w:ind w:left="400"/>
      </w:pPr>
      <w:r>
        <w:rPr>
          <w:i/>
          <w:iCs/>
          <w:color w:val="555555"/>
          <w:sz w:val="20"/>
          <w:szCs w:val="20"/>
        </w:rPr>
        <w:t>Narkiewicz K et al. Selective potentiation of peripheral chemoreflex sensitivity in obstructive sleep apnea. Circulation. 1999;99(9):1183-1189.</w:t>
      </w:r>
    </w:p>
    <w:p w14:paraId="6BB8611C" w14:textId="77777777" w:rsidR="0087185D" w:rsidRDefault="00000000">
      <w:pPr>
        <w:spacing w:after="120"/>
        <w:ind w:left="400"/>
      </w:pPr>
      <w:r>
        <w:rPr>
          <w:i/>
          <w:iCs/>
          <w:color w:val="555555"/>
          <w:sz w:val="20"/>
          <w:szCs w:val="20"/>
        </w:rPr>
        <w:t>Patil SP, Schwartz AR. FDA Workshop — Sleep-disordered breathing: new definitions, new mechanisms. 2018.</w:t>
      </w:r>
    </w:p>
    <w:p w14:paraId="1B725647" w14:textId="77777777" w:rsidR="0087185D" w:rsidRDefault="00000000">
      <w:pPr>
        <w:spacing w:after="120"/>
        <w:ind w:left="400"/>
      </w:pPr>
      <w:r>
        <w:rPr>
          <w:i/>
          <w:iCs/>
          <w:color w:val="555555"/>
          <w:sz w:val="20"/>
          <w:szCs w:val="20"/>
        </w:rPr>
        <w:t>Peppard PE et al. Beyond the apnea-hypopnea index. Am J Respir Crit Care Med. 2018;197(3):285-287.</w:t>
      </w:r>
    </w:p>
    <w:p w14:paraId="0C6492E0" w14:textId="77777777" w:rsidR="0087185D" w:rsidRDefault="00000000">
      <w:pPr>
        <w:spacing w:after="120"/>
        <w:ind w:left="400"/>
      </w:pPr>
      <w:r>
        <w:rPr>
          <w:i/>
          <w:iCs/>
          <w:color w:val="555555"/>
          <w:sz w:val="20"/>
          <w:szCs w:val="20"/>
        </w:rPr>
        <w:t>Prabhakar NR et al. Carotid body: a novel target for therapy of disease states with chronic intermittent hypoxia. Curr Opin Pharmacol. 2016;27:109-114.</w:t>
      </w:r>
    </w:p>
    <w:p w14:paraId="09634DE1" w14:textId="77777777" w:rsidR="0087185D" w:rsidRDefault="00000000">
      <w:pPr>
        <w:spacing w:after="120"/>
        <w:ind w:left="400"/>
        <w:rPr>
          <w:i/>
          <w:iCs/>
          <w:color w:val="555555"/>
          <w:sz w:val="20"/>
          <w:szCs w:val="20"/>
        </w:rPr>
      </w:pPr>
      <w:r>
        <w:rPr>
          <w:i/>
          <w:iCs/>
          <w:color w:val="555555"/>
          <w:sz w:val="20"/>
          <w:szCs w:val="20"/>
        </w:rPr>
        <w:t>Xie J et al. Nocturnal hypoxemia due to obstructive sleep apnea is an independent predictor of poor prognosis after myocardial infarction. J Am Heart Assoc. 2016;5(8):e003162.</w:t>
      </w:r>
    </w:p>
    <w:p w14:paraId="41AF748C" w14:textId="77777777" w:rsidR="00A57B17" w:rsidRDefault="00A57B17">
      <w:pPr>
        <w:spacing w:after="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br w:type="page"/>
      </w:r>
    </w:p>
    <w:p w14:paraId="03170777"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lastRenderedPageBreak/>
        <w:t>Conisderaciones Finales</w:t>
      </w:r>
    </w:p>
    <w:p w14:paraId="25860339" w14:textId="77777777" w:rsidR="00A57B17" w:rsidRPr="00A57B17" w:rsidRDefault="00D43A48" w:rsidP="00A57B17">
      <w:pPr>
        <w:spacing w:after="0"/>
        <w:jc w:val="both"/>
        <w:rPr>
          <w:rFonts w:asciiTheme="minorHAnsi" w:eastAsia="Times New Roman" w:hAnsiTheme="minorHAnsi" w:cs="Times New Roman"/>
          <w:color w:val="auto"/>
          <w:sz w:val="24"/>
          <w:szCs w:val="24"/>
        </w:rPr>
      </w:pPr>
      <w:r w:rsidRPr="00D43A48">
        <w:rPr>
          <w:rFonts w:asciiTheme="minorHAnsi" w:eastAsia="Times New Roman" w:hAnsiTheme="minorHAnsi" w:cs="Times New Roman"/>
          <w:noProof/>
          <w:color w:val="auto"/>
          <w:sz w:val="24"/>
          <w:szCs w:val="24"/>
        </w:rPr>
        <w:pict w14:anchorId="71671FFC">
          <v:rect id="_x0000_i1032" alt="" style="width:427.3pt;height:.05pt;mso-width-percent:0;mso-height-percent:0;mso-width-percent:0;mso-height-percent:0" o:hrpct="967" o:hralign="center" o:hrstd="t" o:hr="t" fillcolor="#a0a0a0" stroked="f"/>
        </w:pict>
      </w:r>
    </w:p>
    <w:p w14:paraId="213674E2"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b/>
          <w:bCs/>
          <w:color w:val="auto"/>
          <w:sz w:val="24"/>
          <w:szCs w:val="24"/>
        </w:rPr>
        <w:t>Primero: el ARI en un paciente sin apneas no existe</w:t>
      </w:r>
    </w:p>
    <w:p w14:paraId="412EBE0B"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 xml:space="preserve">El ARI solo se calcula sobre EDOs (caídas de SpO₂ ≥2%, ≥10s). Sin apneas no hay EDOs → no hay ARI. El índice es condicionado: solo mide la respuesta </w:t>
      </w:r>
      <w:r>
        <w:rPr>
          <w:rFonts w:asciiTheme="minorHAnsi" w:eastAsia="Times New Roman" w:hAnsiTheme="minorHAnsi" w:cs="Times New Roman"/>
          <w:i/>
          <w:iCs/>
          <w:color w:val="auto"/>
          <w:sz w:val="24"/>
          <w:szCs w:val="24"/>
        </w:rPr>
        <w:t>cuando hay un desafío hipóxico</w:t>
      </w:r>
      <w:r>
        <w:rPr>
          <w:rFonts w:asciiTheme="minorHAnsi" w:eastAsia="Times New Roman" w:hAnsiTheme="minorHAnsi" w:cs="Times New Roman"/>
          <w:color w:val="auto"/>
          <w:sz w:val="24"/>
          <w:szCs w:val="24"/>
        </w:rPr>
        <w:t xml:space="preserve">. Esto es importante: no es un índice basal del sistema autónomo, es un índice de </w:t>
      </w:r>
      <w:r>
        <w:rPr>
          <w:rFonts w:asciiTheme="minorHAnsi" w:eastAsia="Times New Roman" w:hAnsiTheme="minorHAnsi" w:cs="Times New Roman"/>
          <w:i/>
          <w:iCs/>
          <w:color w:val="auto"/>
          <w:sz w:val="24"/>
          <w:szCs w:val="24"/>
        </w:rPr>
        <w:t>ganancia de respuesta ante estímulo</w:t>
      </w:r>
      <w:r>
        <w:rPr>
          <w:rFonts w:asciiTheme="minorHAnsi" w:eastAsia="Times New Roman" w:hAnsiTheme="minorHAnsi" w:cs="Times New Roman"/>
          <w:color w:val="auto"/>
          <w:sz w:val="24"/>
          <w:szCs w:val="24"/>
        </w:rPr>
        <w:t>.</w:t>
      </w:r>
    </w:p>
    <w:p w14:paraId="393D91D3"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 xml:space="preserve">Dicho esto, si un paciente sano tuviera un EDO aislado (por ejemplo, una apnea posicional única, o alguien que aguanta la respiración), la respuesta esperada sería la de un sistema autonómico "virgen": el cuerpo reacciona con fuerza a algo inusual. HR sube mucho con una caída pequeña → hr_gain alto → </w:t>
      </w:r>
      <w:r>
        <w:rPr>
          <w:rFonts w:asciiTheme="minorHAnsi" w:eastAsia="Times New Roman" w:hAnsiTheme="minorHAnsi" w:cs="Times New Roman"/>
          <w:b/>
          <w:bCs/>
          <w:color w:val="auto"/>
          <w:sz w:val="24"/>
          <w:szCs w:val="24"/>
        </w:rPr>
        <w:t>ARI muy alto</w:t>
      </w:r>
      <w:r>
        <w:rPr>
          <w:rFonts w:asciiTheme="minorHAnsi" w:eastAsia="Times New Roman" w:hAnsiTheme="minorHAnsi" w:cs="Times New Roman"/>
          <w:color w:val="auto"/>
          <w:sz w:val="24"/>
          <w:szCs w:val="24"/>
        </w:rPr>
        <w:t>. Ese sería el ideal teórico.</w:t>
      </w:r>
    </w:p>
    <w:p w14:paraId="0A101FBA" w14:textId="77777777" w:rsidR="00A57B17" w:rsidRPr="00A57B17" w:rsidRDefault="00D43A48" w:rsidP="00A57B17">
      <w:pPr>
        <w:spacing w:after="0"/>
        <w:jc w:val="both"/>
        <w:rPr>
          <w:rFonts w:asciiTheme="minorHAnsi" w:eastAsia="Times New Roman" w:hAnsiTheme="minorHAnsi" w:cs="Times New Roman"/>
          <w:color w:val="auto"/>
          <w:sz w:val="24"/>
          <w:szCs w:val="24"/>
        </w:rPr>
      </w:pPr>
      <w:r w:rsidRPr="00D43A48">
        <w:rPr>
          <w:rFonts w:asciiTheme="minorHAnsi" w:eastAsia="Times New Roman" w:hAnsiTheme="minorHAnsi" w:cs="Times New Roman"/>
          <w:noProof/>
          <w:color w:val="auto"/>
          <w:sz w:val="24"/>
          <w:szCs w:val="24"/>
        </w:rPr>
        <w:pict w14:anchorId="6B2721EC">
          <v:rect id="_x0000_i1031" alt="" style="width:427.3pt;height:.05pt;mso-width-percent:0;mso-height-percent:0;mso-width-percent:0;mso-height-percent:0" o:hrpct="967" o:hralign="center" o:hrstd="t" o:hr="t" fillcolor="#a0a0a0" stroked="f"/>
        </w:pict>
      </w:r>
    </w:p>
    <w:p w14:paraId="279DCE68"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b/>
          <w:bCs/>
          <w:color w:val="auto"/>
          <w:sz w:val="24"/>
          <w:szCs w:val="24"/>
        </w:rPr>
        <w:t>Escenario 1: SAHS leve, sistema autónomo intacto</w:t>
      </w:r>
    </w:p>
    <w:p w14:paraId="6C042938"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Evento: drop_pct = 5%, Δhr = +8 lpm hr_gain = 8/5 = 1.6 bpm/pp → percentil ~85 en el corpus</w:t>
      </w:r>
    </w:p>
    <w:p w14:paraId="76AE4772"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 xml:space="preserve">El cuerpo detecta la caída y reacciona enérgicamente. Sube la FC, el paciente se mueve, se produce el arousal que termina el evento. </w:t>
      </w:r>
      <w:r>
        <w:rPr>
          <w:rFonts w:asciiTheme="minorHAnsi" w:eastAsia="Times New Roman" w:hAnsiTheme="minorHAnsi" w:cs="Times New Roman"/>
          <w:b/>
          <w:bCs/>
          <w:color w:val="auto"/>
          <w:sz w:val="24"/>
          <w:szCs w:val="24"/>
        </w:rPr>
        <w:t>ARI alto (~0.80).</w:t>
      </w:r>
    </w:p>
    <w:p w14:paraId="16F7D53B"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Esta es la respuesta adaptativa sana. El arousal es "bueno" en el corto plazo: termina la apnea. El costo es que, si se repite miles de veces por noche durante años, el estrés simpático acumulado tiene consecuencias cardiovasculares.</w:t>
      </w:r>
    </w:p>
    <w:p w14:paraId="3CBBF2CE" w14:textId="77777777" w:rsidR="00A57B17" w:rsidRPr="00A57B17" w:rsidRDefault="00D43A48" w:rsidP="00A57B17">
      <w:pPr>
        <w:spacing w:after="0"/>
        <w:jc w:val="both"/>
        <w:rPr>
          <w:rFonts w:asciiTheme="minorHAnsi" w:eastAsia="Times New Roman" w:hAnsiTheme="minorHAnsi" w:cs="Times New Roman"/>
          <w:color w:val="auto"/>
          <w:sz w:val="24"/>
          <w:szCs w:val="24"/>
        </w:rPr>
      </w:pPr>
      <w:r w:rsidRPr="00D43A48">
        <w:rPr>
          <w:rFonts w:asciiTheme="minorHAnsi" w:eastAsia="Times New Roman" w:hAnsiTheme="minorHAnsi" w:cs="Times New Roman"/>
          <w:noProof/>
          <w:color w:val="auto"/>
          <w:sz w:val="24"/>
          <w:szCs w:val="24"/>
        </w:rPr>
        <w:pict w14:anchorId="22D9B5D1">
          <v:rect id="_x0000_i1030" alt="" style="width:427.3pt;height:.05pt;mso-width-percent:0;mso-height-percent:0;mso-width-percent:0;mso-height-percent:0" o:hrpct="967" o:hralign="center" o:hrstd="t" o:hr="t" fillcolor="#a0a0a0" stroked="f"/>
        </w:pict>
      </w:r>
    </w:p>
    <w:p w14:paraId="115E8F6C"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b/>
          <w:bCs/>
          <w:color w:val="auto"/>
          <w:sz w:val="24"/>
          <w:szCs w:val="24"/>
        </w:rPr>
        <w:t>Escenario 2: SAHS grave de años de evolución, inicio de agotamiento</w:t>
      </w:r>
    </w:p>
    <w:p w14:paraId="73B0D9C1"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Evento: drop_pct = 15%, Δhr = +3 lpm hr_gain = 3/15 = 0.20 bpm/pp → percentil ~25</w:t>
      </w:r>
    </w:p>
    <w:p w14:paraId="629EB1CE"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 xml:space="preserve">El cuerpo está viendo caídas profundas y crónicas. El quimiorreflejo se ha desensibilizado por exposición repetida a hipoxia intermitente. La FC sube poco pese a la caída grande. </w:t>
      </w:r>
      <w:r>
        <w:rPr>
          <w:rFonts w:asciiTheme="minorHAnsi" w:eastAsia="Times New Roman" w:hAnsiTheme="minorHAnsi" w:cs="Times New Roman"/>
          <w:b/>
          <w:bCs/>
          <w:color w:val="auto"/>
          <w:sz w:val="24"/>
          <w:szCs w:val="24"/>
        </w:rPr>
        <w:t>ARI bajo (~0.25).</w:t>
      </w:r>
    </w:p>
    <w:p w14:paraId="7D180CDD"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El sistema ya no reacciona proporcionalmente. El arousal es débil o no ocurre. La apnea se puede prolongar más antes de resolverse.</w:t>
      </w:r>
    </w:p>
    <w:p w14:paraId="1EB2831B" w14:textId="77777777" w:rsidR="00A57B17" w:rsidRPr="00A57B17" w:rsidRDefault="00D43A48" w:rsidP="00A57B17">
      <w:pPr>
        <w:spacing w:after="0"/>
        <w:jc w:val="both"/>
        <w:rPr>
          <w:rFonts w:asciiTheme="minorHAnsi" w:eastAsia="Times New Roman" w:hAnsiTheme="minorHAnsi" w:cs="Times New Roman"/>
          <w:color w:val="auto"/>
          <w:sz w:val="24"/>
          <w:szCs w:val="24"/>
        </w:rPr>
      </w:pPr>
      <w:r w:rsidRPr="00D43A48">
        <w:rPr>
          <w:rFonts w:asciiTheme="minorHAnsi" w:eastAsia="Times New Roman" w:hAnsiTheme="minorHAnsi" w:cs="Times New Roman"/>
          <w:noProof/>
          <w:color w:val="auto"/>
          <w:sz w:val="24"/>
          <w:szCs w:val="24"/>
        </w:rPr>
        <w:pict w14:anchorId="1FB2E6B6">
          <v:rect id="_x0000_i1029" alt="" style="width:427.3pt;height:.05pt;mso-width-percent:0;mso-height-percent:0;mso-width-percent:0;mso-height-percent:0" o:hrpct="967" o:hralign="center" o:hrstd="t" o:hr="t" fillcolor="#a0a0a0" stroked="f"/>
        </w:pict>
      </w:r>
    </w:p>
    <w:p w14:paraId="415C7036"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b/>
          <w:bCs/>
          <w:color w:val="auto"/>
          <w:sz w:val="24"/>
          <w:szCs w:val="24"/>
        </w:rPr>
        <w:t>Escenario 3: SAHS muy grave, C5, silencio autonómico completo</w:t>
      </w:r>
    </w:p>
    <w:p w14:paraId="12499373"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lastRenderedPageBreak/>
        <w:t>Evento: drop_pct = 22%, Δhr = +0.9 lpm hr_gain = 0.9/22 = 0.041 bpm/pp → percentil ~3</w:t>
      </w:r>
    </w:p>
    <w:p w14:paraId="2BAA4F5C"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 xml:space="preserve">Este es el hallazgo del corpus. La hipoxia más profunda del dataset tiene la respuesta autonómica más baja. </w:t>
      </w:r>
      <w:r>
        <w:rPr>
          <w:rFonts w:asciiTheme="minorHAnsi" w:eastAsia="Times New Roman" w:hAnsiTheme="minorHAnsi" w:cs="Times New Roman"/>
          <w:b/>
          <w:bCs/>
          <w:color w:val="auto"/>
          <w:sz w:val="24"/>
          <w:szCs w:val="24"/>
        </w:rPr>
        <w:t>ARI ~0.05.</w:t>
      </w:r>
      <w:r>
        <w:rPr>
          <w:rFonts w:asciiTheme="minorHAnsi" w:eastAsia="Times New Roman" w:hAnsiTheme="minorHAnsi" w:cs="Times New Roman"/>
          <w:color w:val="auto"/>
          <w:sz w:val="24"/>
          <w:szCs w:val="24"/>
        </w:rPr>
        <w:t xml:space="preserve"> La alarma fisiológica no suena. El cuerpo está "acostumbrado" al desafío al punto de ya no responder.</w:t>
      </w:r>
    </w:p>
    <w:p w14:paraId="3FB3592F" w14:textId="77777777" w:rsidR="00A57B17" w:rsidRPr="00A57B17" w:rsidRDefault="00D43A48" w:rsidP="00A57B17">
      <w:pPr>
        <w:spacing w:after="0"/>
        <w:jc w:val="both"/>
        <w:rPr>
          <w:rFonts w:asciiTheme="minorHAnsi" w:eastAsia="Times New Roman" w:hAnsiTheme="minorHAnsi" w:cs="Times New Roman"/>
          <w:color w:val="auto"/>
          <w:sz w:val="24"/>
          <w:szCs w:val="24"/>
        </w:rPr>
      </w:pPr>
      <w:r w:rsidRPr="00D43A48">
        <w:rPr>
          <w:rFonts w:asciiTheme="minorHAnsi" w:eastAsia="Times New Roman" w:hAnsiTheme="minorHAnsi" w:cs="Times New Roman"/>
          <w:noProof/>
          <w:color w:val="auto"/>
          <w:sz w:val="24"/>
          <w:szCs w:val="24"/>
        </w:rPr>
        <w:pict w14:anchorId="33768FB2">
          <v:rect id="_x0000_i1028" alt="" style="width:427.3pt;height:.05pt;mso-width-percent:0;mso-height-percent:0;mso-width-percent:0;mso-height-percent:0" o:hrpct="967" o:hralign="center" o:hrstd="t" o:hr="t" fillcolor="#a0a0a0" stroked="f"/>
        </w:pict>
      </w:r>
    </w:p>
    <w:p w14:paraId="5E7134F7"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b/>
          <w:bCs/>
          <w:color w:val="auto"/>
          <w:sz w:val="24"/>
          <w:szCs w:val="24"/>
        </w:rPr>
        <w:t>El concepto clave: ARI es la sensibilidad del alarm bell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8"/>
        <w:gridCol w:w="1512"/>
        <w:gridCol w:w="1008"/>
        <w:gridCol w:w="4201"/>
      </w:tblGrid>
      <w:tr w:rsidR="00A57B17" w:rsidRPr="00A57B17" w14:paraId="0F652AE4" w14:textId="77777777" w:rsidTr="00A57B17">
        <w:trPr>
          <w:tblHeader/>
          <w:tblCellSpacing w:w="15" w:type="dxa"/>
        </w:trPr>
        <w:tc>
          <w:tcPr>
            <w:tcW w:w="0" w:type="auto"/>
            <w:vAlign w:val="center"/>
            <w:hideMark/>
          </w:tcPr>
          <w:p w14:paraId="3809E037" w14:textId="77777777" w:rsidR="00A57B17" w:rsidRPr="00A57B17" w:rsidRDefault="00A57B17" w:rsidP="00A57B17">
            <w:pPr>
              <w:spacing w:after="0"/>
              <w:jc w:val="both"/>
              <w:rPr>
                <w:rFonts w:asciiTheme="minorHAnsi" w:eastAsia="Times New Roman" w:hAnsiTheme="minorHAnsi" w:cs="Times New Roman"/>
                <w:b/>
                <w:bCs/>
                <w:color w:val="auto"/>
                <w:sz w:val="24"/>
                <w:szCs w:val="24"/>
              </w:rPr>
            </w:pPr>
            <w:r>
              <w:rPr>
                <w:rFonts w:asciiTheme="minorHAnsi" w:eastAsia="Times New Roman" w:hAnsiTheme="minorHAnsi" w:cs="Times New Roman"/>
                <w:b/>
                <w:bCs/>
                <w:color w:val="auto"/>
                <w:sz w:val="24"/>
                <w:szCs w:val="24"/>
              </w:rPr>
              <w:t>Paciente</w:t>
            </w:r>
          </w:p>
        </w:tc>
        <w:tc>
          <w:tcPr>
            <w:tcW w:w="0" w:type="auto"/>
            <w:vAlign w:val="center"/>
            <w:hideMark/>
          </w:tcPr>
          <w:p w14:paraId="6DEB7AD0" w14:textId="77777777" w:rsidR="00A57B17" w:rsidRPr="00A57B17" w:rsidRDefault="00A57B17" w:rsidP="00A57B17">
            <w:pPr>
              <w:spacing w:after="0"/>
              <w:jc w:val="both"/>
              <w:rPr>
                <w:rFonts w:asciiTheme="minorHAnsi" w:eastAsia="Times New Roman" w:hAnsiTheme="minorHAnsi" w:cs="Times New Roman"/>
                <w:b/>
                <w:bCs/>
                <w:color w:val="auto"/>
                <w:sz w:val="24"/>
                <w:szCs w:val="24"/>
              </w:rPr>
            </w:pPr>
            <w:r>
              <w:rPr>
                <w:rFonts w:asciiTheme="minorHAnsi" w:eastAsia="Times New Roman" w:hAnsiTheme="minorHAnsi" w:cs="Times New Roman"/>
                <w:b/>
                <w:bCs/>
                <w:color w:val="auto"/>
                <w:sz w:val="24"/>
                <w:szCs w:val="24"/>
              </w:rPr>
              <w:t>Carga hipóxica</w:t>
            </w:r>
          </w:p>
        </w:tc>
        <w:tc>
          <w:tcPr>
            <w:tcW w:w="0" w:type="auto"/>
            <w:vAlign w:val="center"/>
            <w:hideMark/>
          </w:tcPr>
          <w:p w14:paraId="7DD37FC9" w14:textId="77777777" w:rsidR="00A57B17" w:rsidRPr="00A57B17" w:rsidRDefault="00A57B17" w:rsidP="00A57B17">
            <w:pPr>
              <w:spacing w:after="0"/>
              <w:jc w:val="both"/>
              <w:rPr>
                <w:rFonts w:asciiTheme="minorHAnsi" w:eastAsia="Times New Roman" w:hAnsiTheme="minorHAnsi" w:cs="Times New Roman"/>
                <w:b/>
                <w:bCs/>
                <w:color w:val="auto"/>
                <w:sz w:val="24"/>
                <w:szCs w:val="24"/>
              </w:rPr>
            </w:pPr>
            <w:r>
              <w:rPr>
                <w:rFonts w:asciiTheme="minorHAnsi" w:eastAsia="Times New Roman" w:hAnsiTheme="minorHAnsi" w:cs="Times New Roman"/>
                <w:b/>
                <w:bCs/>
                <w:color w:val="auto"/>
                <w:sz w:val="24"/>
                <w:szCs w:val="24"/>
              </w:rPr>
              <w:t>ARI</w:t>
            </w:r>
          </w:p>
        </w:tc>
        <w:tc>
          <w:tcPr>
            <w:tcW w:w="0" w:type="auto"/>
            <w:vAlign w:val="center"/>
            <w:hideMark/>
          </w:tcPr>
          <w:p w14:paraId="35DA3662" w14:textId="77777777" w:rsidR="00A57B17" w:rsidRPr="00A57B17" w:rsidRDefault="00A57B17" w:rsidP="00A57B17">
            <w:pPr>
              <w:spacing w:after="0"/>
              <w:jc w:val="both"/>
              <w:rPr>
                <w:rFonts w:asciiTheme="minorHAnsi" w:eastAsia="Times New Roman" w:hAnsiTheme="minorHAnsi" w:cs="Times New Roman"/>
                <w:b/>
                <w:bCs/>
                <w:color w:val="auto"/>
                <w:sz w:val="24"/>
                <w:szCs w:val="24"/>
              </w:rPr>
            </w:pPr>
            <w:r>
              <w:rPr>
                <w:rFonts w:asciiTheme="minorHAnsi" w:eastAsia="Times New Roman" w:hAnsiTheme="minorHAnsi" w:cs="Times New Roman"/>
                <w:b/>
                <w:bCs/>
                <w:color w:val="auto"/>
                <w:sz w:val="24"/>
                <w:szCs w:val="24"/>
              </w:rPr>
              <w:t>Significado</w:t>
            </w:r>
          </w:p>
        </w:tc>
      </w:tr>
      <w:tr w:rsidR="00A57B17" w:rsidRPr="00A57B17" w14:paraId="69267A50" w14:textId="77777777" w:rsidTr="00A57B17">
        <w:trPr>
          <w:tblCellSpacing w:w="15" w:type="dxa"/>
        </w:trPr>
        <w:tc>
          <w:tcPr>
            <w:tcW w:w="0" w:type="auto"/>
            <w:vAlign w:val="center"/>
            <w:hideMark/>
          </w:tcPr>
          <w:p w14:paraId="372B25C6"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Sano hipotético</w:t>
            </w:r>
          </w:p>
        </w:tc>
        <w:tc>
          <w:tcPr>
            <w:tcW w:w="0" w:type="auto"/>
            <w:vAlign w:val="center"/>
            <w:hideMark/>
          </w:tcPr>
          <w:p w14:paraId="0D54F892"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Sin EDOs</w:t>
            </w:r>
          </w:p>
        </w:tc>
        <w:tc>
          <w:tcPr>
            <w:tcW w:w="0" w:type="auto"/>
            <w:vAlign w:val="center"/>
            <w:hideMark/>
          </w:tcPr>
          <w:p w14:paraId="0FD0B223"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No aplica</w:t>
            </w:r>
          </w:p>
        </w:tc>
        <w:tc>
          <w:tcPr>
            <w:tcW w:w="0" w:type="auto"/>
            <w:vAlign w:val="center"/>
            <w:hideMark/>
          </w:tcPr>
          <w:p w14:paraId="544EABED"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Sin desafío, sin medición</w:t>
            </w:r>
          </w:p>
        </w:tc>
      </w:tr>
      <w:tr w:rsidR="00A57B17" w:rsidRPr="00A57B17" w14:paraId="6EE2B977" w14:textId="77777777" w:rsidTr="00A57B17">
        <w:trPr>
          <w:tblCellSpacing w:w="15" w:type="dxa"/>
        </w:trPr>
        <w:tc>
          <w:tcPr>
            <w:tcW w:w="0" w:type="auto"/>
            <w:vAlign w:val="center"/>
            <w:hideMark/>
          </w:tcPr>
          <w:p w14:paraId="042F3964"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SAHS leve</w:t>
            </w:r>
          </w:p>
        </w:tc>
        <w:tc>
          <w:tcPr>
            <w:tcW w:w="0" w:type="auto"/>
            <w:vAlign w:val="center"/>
            <w:hideMark/>
          </w:tcPr>
          <w:p w14:paraId="22B95B24"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Baja</w:t>
            </w:r>
          </w:p>
        </w:tc>
        <w:tc>
          <w:tcPr>
            <w:tcW w:w="0" w:type="auto"/>
            <w:vAlign w:val="center"/>
            <w:hideMark/>
          </w:tcPr>
          <w:p w14:paraId="3BEA3531"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Alto</w:t>
            </w:r>
          </w:p>
        </w:tc>
        <w:tc>
          <w:tcPr>
            <w:tcW w:w="0" w:type="auto"/>
            <w:vAlign w:val="center"/>
            <w:hideMark/>
          </w:tcPr>
          <w:p w14:paraId="23076CB9"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Sistema reactivo, arousals eficientes</w:t>
            </w:r>
          </w:p>
        </w:tc>
      </w:tr>
      <w:tr w:rsidR="00A57B17" w:rsidRPr="00A57B17" w14:paraId="687F2E0F" w14:textId="77777777" w:rsidTr="00A57B17">
        <w:trPr>
          <w:tblCellSpacing w:w="15" w:type="dxa"/>
        </w:trPr>
        <w:tc>
          <w:tcPr>
            <w:tcW w:w="0" w:type="auto"/>
            <w:vAlign w:val="center"/>
            <w:hideMark/>
          </w:tcPr>
          <w:p w14:paraId="0AF1F648"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SAHS severo activo</w:t>
            </w:r>
          </w:p>
        </w:tc>
        <w:tc>
          <w:tcPr>
            <w:tcW w:w="0" w:type="auto"/>
            <w:vAlign w:val="center"/>
            <w:hideMark/>
          </w:tcPr>
          <w:p w14:paraId="7F81D8C8"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Alta</w:t>
            </w:r>
          </w:p>
        </w:tc>
        <w:tc>
          <w:tcPr>
            <w:tcW w:w="0" w:type="auto"/>
            <w:vAlign w:val="center"/>
            <w:hideMark/>
          </w:tcPr>
          <w:p w14:paraId="33666C70"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Alto</w:t>
            </w:r>
          </w:p>
        </w:tc>
        <w:tc>
          <w:tcPr>
            <w:tcW w:w="0" w:type="auto"/>
            <w:vAlign w:val="center"/>
            <w:hideMark/>
          </w:tcPr>
          <w:p w14:paraId="7B5AE138"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Sistema reactivo pero bajo estrés crónico brutal</w:t>
            </w:r>
          </w:p>
        </w:tc>
      </w:tr>
      <w:tr w:rsidR="00A57B17" w:rsidRPr="00A57B17" w14:paraId="0B9158DD" w14:textId="77777777" w:rsidTr="00A57B17">
        <w:trPr>
          <w:tblCellSpacing w:w="15" w:type="dxa"/>
        </w:trPr>
        <w:tc>
          <w:tcPr>
            <w:tcW w:w="0" w:type="auto"/>
            <w:vAlign w:val="center"/>
            <w:hideMark/>
          </w:tcPr>
          <w:p w14:paraId="7216D3EE"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SAHS severo crónico</w:t>
            </w:r>
          </w:p>
        </w:tc>
        <w:tc>
          <w:tcPr>
            <w:tcW w:w="0" w:type="auto"/>
            <w:vAlign w:val="center"/>
            <w:hideMark/>
          </w:tcPr>
          <w:p w14:paraId="70CD5389"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Alta</w:t>
            </w:r>
          </w:p>
        </w:tc>
        <w:tc>
          <w:tcPr>
            <w:tcW w:w="0" w:type="auto"/>
            <w:vAlign w:val="center"/>
            <w:hideMark/>
          </w:tcPr>
          <w:p w14:paraId="100A9533"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Bajo</w:t>
            </w:r>
          </w:p>
        </w:tc>
        <w:tc>
          <w:tcPr>
            <w:tcW w:w="0" w:type="auto"/>
            <w:vAlign w:val="center"/>
            <w:hideMark/>
          </w:tcPr>
          <w:p w14:paraId="010A84B2"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Desensibilización: la alarma no suena</w:t>
            </w:r>
          </w:p>
        </w:tc>
      </w:tr>
      <w:tr w:rsidR="00A57B17" w:rsidRPr="00A57B17" w14:paraId="63B90D82" w14:textId="77777777" w:rsidTr="00A57B17">
        <w:trPr>
          <w:tblCellSpacing w:w="15" w:type="dxa"/>
        </w:trPr>
        <w:tc>
          <w:tcPr>
            <w:tcW w:w="0" w:type="auto"/>
            <w:vAlign w:val="center"/>
            <w:hideMark/>
          </w:tcPr>
          <w:p w14:paraId="620AD29A"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SAHS severo terminal</w:t>
            </w:r>
          </w:p>
        </w:tc>
        <w:tc>
          <w:tcPr>
            <w:tcW w:w="0" w:type="auto"/>
            <w:vAlign w:val="center"/>
            <w:hideMark/>
          </w:tcPr>
          <w:p w14:paraId="543E4BC0"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Alta</w:t>
            </w:r>
          </w:p>
        </w:tc>
        <w:tc>
          <w:tcPr>
            <w:tcW w:w="0" w:type="auto"/>
            <w:vAlign w:val="center"/>
            <w:hideMark/>
          </w:tcPr>
          <w:p w14:paraId="74ECF943"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Mínimo</w:t>
            </w:r>
          </w:p>
        </w:tc>
        <w:tc>
          <w:tcPr>
            <w:tcW w:w="0" w:type="auto"/>
            <w:vAlign w:val="center"/>
            <w:hideMark/>
          </w:tcPr>
          <w:p w14:paraId="42236A7D" w14:textId="77777777" w:rsidR="00A57B17" w:rsidRPr="00A57B17" w:rsidRDefault="00A57B17" w:rsidP="00A57B17">
            <w:pPr>
              <w:spacing w:after="0"/>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Silencio autonómico — C5</w:t>
            </w:r>
          </w:p>
        </w:tc>
      </w:tr>
    </w:tbl>
    <w:p w14:paraId="4D4814BC"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 xml:space="preserve">La interpretación paradójica es: </w:t>
      </w:r>
      <w:r>
        <w:rPr>
          <w:rFonts w:asciiTheme="minorHAnsi" w:eastAsia="Times New Roman" w:hAnsiTheme="minorHAnsi" w:cs="Times New Roman"/>
          <w:b/>
          <w:bCs/>
          <w:color w:val="auto"/>
          <w:sz w:val="24"/>
          <w:szCs w:val="24"/>
        </w:rPr>
        <w:t>un ARI bajo en presencia de carga hipóxica alta</w:t>
      </w:r>
      <w:r>
        <w:rPr>
          <w:rFonts w:asciiTheme="minorHAnsi" w:eastAsia="Times New Roman" w:hAnsiTheme="minorHAnsi" w:cs="Times New Roman"/>
          <w:color w:val="auto"/>
          <w:sz w:val="24"/>
          <w:szCs w:val="24"/>
        </w:rPr>
        <w:t xml:space="preserve"> (Cuadrante IV) es el peor escenario, no porque el ARI sea malo en sí mismo, sino porque significa que el organismo ha perdido la capacidad de responder a un peligro real. Es el equivalente fisiológico a una persona que ya no se despierta cuando suena la alarma de incendio.</w:t>
      </w:r>
    </w:p>
    <w:p w14:paraId="61504856" w14:textId="77777777" w:rsidR="00A57B17" w:rsidRPr="00A57B17"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 xml:space="preserve">Y a la inversa: </w:t>
      </w:r>
      <w:r>
        <w:rPr>
          <w:rFonts w:asciiTheme="minorHAnsi" w:eastAsia="Times New Roman" w:hAnsiTheme="minorHAnsi" w:cs="Times New Roman"/>
          <w:b/>
          <w:bCs/>
          <w:color w:val="auto"/>
          <w:sz w:val="24"/>
          <w:szCs w:val="24"/>
        </w:rPr>
        <w:t>un ARI alto en SAHS severo</w:t>
      </w:r>
      <w:r>
        <w:rPr>
          <w:rFonts w:asciiTheme="minorHAnsi" w:eastAsia="Times New Roman" w:hAnsiTheme="minorHAnsi" w:cs="Times New Roman"/>
          <w:color w:val="auto"/>
          <w:sz w:val="24"/>
          <w:szCs w:val="24"/>
        </w:rPr>
        <w:t xml:space="preserve"> no es tranquilizador tampoco — el sistema responde, sí, pero lo hace miles de veces por noche con picos simpáticos que a largo plazo dañan el endotelio y elevan la presión basal.</w:t>
      </w:r>
    </w:p>
    <w:p w14:paraId="5FF3F57D" w14:textId="0BF20F4B" w:rsidR="002D0686" w:rsidRDefault="00A57B17" w:rsidP="00A57B17">
      <w:pPr>
        <w:spacing w:before="100" w:beforeAutospacing="1" w:after="100" w:afterAutospacing="1"/>
        <w:jc w:val="both"/>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t>Eso es lo que hace al ARI clínicamente interesante: su interpretación depende del eje hipóxico. Solo en el espacio bidimensional (ARI × carga hipóxica) el cuadrante le da sentido.</w:t>
      </w:r>
    </w:p>
    <w:p w14:paraId="6041679E" w14:textId="77777777" w:rsidR="002D0686" w:rsidRDefault="002D0686">
      <w:pPr>
        <w:spacing w:after="0"/>
        <w:rPr>
          <w:rFonts w:asciiTheme="minorHAnsi" w:eastAsia="Times New Roman" w:hAnsiTheme="minorHAnsi" w:cs="Times New Roman"/>
          <w:color w:val="auto"/>
          <w:sz w:val="24"/>
          <w:szCs w:val="24"/>
        </w:rPr>
      </w:pPr>
      <w:r>
        <w:rPr>
          <w:rFonts w:asciiTheme="minorHAnsi" w:eastAsia="Times New Roman" w:hAnsiTheme="minorHAnsi" w:cs="Times New Roman"/>
          <w:color w:val="auto"/>
          <w:sz w:val="24"/>
          <w:szCs w:val="24"/>
        </w:rPr>
        <w:br w:type="page"/>
      </w:r>
    </w:p>
    <w:p w14:paraId="15C2211E" w14:textId="77777777" w:rsidR="002D0686" w:rsidRPr="0049727A" w:rsidRDefault="002D0686" w:rsidP="0049727A">
      <w:pPr>
        <w:pStyle w:val="Ttulo2"/>
        <w:jc w:val="both"/>
        <w:rPr>
          <w:rFonts w:asciiTheme="minorHAnsi" w:eastAsia="Times New Roman" w:hAnsiTheme="minorHAnsi" w:cs="Times New Roman"/>
          <w:color w:val="auto"/>
          <w:sz w:val="36"/>
          <w:szCs w:val="36"/>
        </w:rPr>
      </w:pPr>
      <w:r w:rsidRPr="0049727A">
        <w:rPr>
          <w:rFonts w:asciiTheme="minorHAnsi" w:hAnsiTheme="minorHAnsi"/>
        </w:rPr>
        <w:lastRenderedPageBreak/>
        <w:t>ARI en SAOS: ¿Aporte real o redundante?</w:t>
      </w:r>
    </w:p>
    <w:p w14:paraId="537D2DBA" w14:textId="77777777" w:rsidR="002D0686" w:rsidRPr="0049727A" w:rsidRDefault="002D0686" w:rsidP="0049727A">
      <w:pPr>
        <w:pStyle w:val="Ttulo3"/>
        <w:jc w:val="both"/>
        <w:rPr>
          <w:rFonts w:asciiTheme="minorHAnsi" w:hAnsiTheme="minorHAnsi"/>
        </w:rPr>
      </w:pPr>
      <w:r w:rsidRPr="0049727A">
        <w:rPr>
          <w:rFonts w:asciiTheme="minorHAnsi" w:hAnsiTheme="minorHAnsi"/>
        </w:rPr>
        <w:t>Qué mide ARI y qué no</w:t>
      </w:r>
    </w:p>
    <w:p w14:paraId="04500A65" w14:textId="77777777" w:rsidR="002D0686" w:rsidRPr="0049727A" w:rsidRDefault="002D0686" w:rsidP="0049727A">
      <w:pPr>
        <w:pStyle w:val="NormalWeb"/>
        <w:jc w:val="both"/>
        <w:rPr>
          <w:rFonts w:asciiTheme="minorHAnsi" w:hAnsiTheme="minorHAnsi"/>
        </w:rPr>
      </w:pPr>
      <w:r w:rsidRPr="0049727A">
        <w:rPr>
          <w:rFonts w:asciiTheme="minorHAnsi" w:hAnsiTheme="minorHAnsi"/>
        </w:rPr>
        <w:t xml:space="preserve">ARI = 0.6 × P(hr_gain) + 0.4 × P(mov_gain) — captura la </w:t>
      </w:r>
      <w:r w:rsidRPr="0049727A">
        <w:rPr>
          <w:rStyle w:val="Fuerte"/>
          <w:rFonts w:asciiTheme="minorHAnsi" w:hAnsiTheme="minorHAnsi"/>
        </w:rPr>
        <w:t>respuesta autonómica y de arousal</w:t>
      </w:r>
      <w:r w:rsidRPr="0049727A">
        <w:rPr>
          <w:rFonts w:asciiTheme="minorHAnsi" w:hAnsiTheme="minorHAnsi"/>
        </w:rPr>
        <w:t xml:space="preserve"> al evento respiratorio, no la magnitud de la desaturación. Esa distinción es el núcleo de todo lo que sigue.</w:t>
      </w:r>
    </w:p>
    <w:p w14:paraId="0DAB85A8" w14:textId="77777777" w:rsidR="002D0686" w:rsidRPr="0049727A" w:rsidRDefault="00D43A48" w:rsidP="0049727A">
      <w:pPr>
        <w:jc w:val="both"/>
        <w:rPr>
          <w:rFonts w:asciiTheme="minorHAnsi" w:hAnsiTheme="minorHAnsi"/>
        </w:rPr>
      </w:pPr>
      <w:r w:rsidRPr="00D43A48">
        <w:rPr>
          <w:rFonts w:asciiTheme="minorHAnsi" w:hAnsiTheme="minorHAnsi"/>
          <w:noProof/>
        </w:rPr>
        <w:pict w14:anchorId="50FA92EA">
          <v:rect id="_x0000_i1027" alt="" style="width:432.2pt;height:.05pt;mso-width-percent:0;mso-height-percent:0;mso-width-percent:0;mso-height-percent:0" o:hrpct="978" o:hralign="center" o:hrstd="t" o:hr="t" fillcolor="#a0a0a0" stroked="f"/>
        </w:pict>
      </w:r>
    </w:p>
    <w:p w14:paraId="08334405" w14:textId="77777777" w:rsidR="002D0686" w:rsidRPr="0049727A" w:rsidRDefault="002D0686" w:rsidP="0049727A">
      <w:pPr>
        <w:pStyle w:val="Ttulo3"/>
        <w:jc w:val="both"/>
        <w:rPr>
          <w:rFonts w:asciiTheme="minorHAnsi" w:hAnsiTheme="minorHAnsi"/>
        </w:rPr>
      </w:pPr>
      <w:r w:rsidRPr="0049727A">
        <w:rPr>
          <w:rFonts w:asciiTheme="minorHAnsi" w:hAnsiTheme="minorHAnsi"/>
        </w:rPr>
        <w:t>Lo que los datos muestran claramente</w:t>
      </w:r>
    </w:p>
    <w:p w14:paraId="31C519F5" w14:textId="77777777" w:rsidR="002D0686" w:rsidRPr="0049727A" w:rsidRDefault="002D0686" w:rsidP="0049727A">
      <w:pPr>
        <w:pStyle w:val="NormalWeb"/>
        <w:jc w:val="both"/>
        <w:rPr>
          <w:rFonts w:asciiTheme="minorHAnsi" w:hAnsiTheme="minorHAnsi"/>
        </w:rPr>
      </w:pPr>
      <w:r w:rsidRPr="0049727A">
        <w:rPr>
          <w:rStyle w:val="Fuerte"/>
          <w:rFonts w:asciiTheme="minorHAnsi" w:hAnsiTheme="minorHAnsi"/>
        </w:rPr>
        <w:t>Ortogonalidad con la morfología del evento (NB02)</w:t>
      </w:r>
    </w:p>
    <w:p w14:paraId="718190EF" w14:textId="77777777" w:rsidR="002D0686" w:rsidRPr="0049727A" w:rsidRDefault="002D0686" w:rsidP="0049727A">
      <w:pPr>
        <w:pStyle w:val="NormalWeb"/>
        <w:jc w:val="both"/>
        <w:rPr>
          <w:rFonts w:asciiTheme="minorHAnsi" w:hAnsiTheme="minorHAnsi"/>
        </w:rPr>
      </w:pPr>
      <w:r w:rsidRPr="0049727A">
        <w:rPr>
          <w:rFonts w:asciiTheme="minorHAnsi" w:hAnsiTheme="minorHAnsi"/>
        </w:rPr>
        <w:t xml:space="preserve">ρ(ARI, morfotipo_severidad) = </w:t>
      </w:r>
      <w:r w:rsidRPr="0049727A">
        <w:rPr>
          <w:rStyle w:val="Fuerte"/>
          <w:rFonts w:asciiTheme="minorHAnsi" w:hAnsiTheme="minorHAnsi"/>
        </w:rPr>
        <w:t>0.035</w:t>
      </w:r>
      <w:r w:rsidRPr="0049727A">
        <w:rPr>
          <w:rFonts w:asciiTheme="minorHAnsi" w:hAnsiTheme="minorHAnsi"/>
        </w:rPr>
        <w:t xml:space="preserve">, AUC = </w:t>
      </w:r>
      <w:r w:rsidRPr="0049727A">
        <w:rPr>
          <w:rStyle w:val="Fuerte"/>
          <w:rFonts w:asciiTheme="minorHAnsi" w:hAnsiTheme="minorHAnsi"/>
        </w:rPr>
        <w:t>0.453</w:t>
      </w:r>
      <w:r w:rsidRPr="0049727A">
        <w:rPr>
          <w:rFonts w:asciiTheme="minorHAnsi" w:hAnsiTheme="minorHAnsi"/>
        </w:rPr>
        <w:t>. ARI no predice el morfotipo del evento. Esto no es un fallo — es el resultado esperado y deseable: ARI y el morfotipo capturan dimensiones distintas. Un evento de desaturación profunda (morfotipo C4/C5) puede generar poca respuesta autonómica, y un evento leve puede generar respuesta máxima. Son ejes independientes.</w:t>
      </w:r>
    </w:p>
    <w:p w14:paraId="12A2253A" w14:textId="77777777" w:rsidR="002D0686" w:rsidRPr="0049727A" w:rsidRDefault="002D0686" w:rsidP="0049727A">
      <w:pPr>
        <w:pStyle w:val="NormalWeb"/>
        <w:jc w:val="both"/>
        <w:rPr>
          <w:rFonts w:asciiTheme="minorHAnsi" w:hAnsiTheme="minorHAnsi"/>
        </w:rPr>
      </w:pPr>
      <w:r w:rsidRPr="0049727A">
        <w:rPr>
          <w:rStyle w:val="Fuerte"/>
          <w:rFonts w:asciiTheme="minorHAnsi" w:hAnsiTheme="minorHAnsi"/>
        </w:rPr>
        <w:t>Estabilidad noche a noche (NB03)</w:t>
      </w:r>
    </w:p>
    <w:p w14:paraId="717AD40B" w14:textId="77777777" w:rsidR="002D0686" w:rsidRPr="0049727A" w:rsidRDefault="002D0686" w:rsidP="0049727A">
      <w:pPr>
        <w:pStyle w:val="NormalWeb"/>
        <w:jc w:val="both"/>
        <w:rPr>
          <w:rFonts w:asciiTheme="minorHAnsi" w:hAnsiTheme="minorHAnsi"/>
        </w:rPr>
      </w:pPr>
      <w:r w:rsidRPr="0049727A">
        <w:rPr>
          <w:rFonts w:asciiTheme="minorHAnsi" w:hAnsiTheme="minorHAnsi"/>
        </w:rPr>
        <w:t xml:space="preserve">ICC(1,1) = </w:t>
      </w:r>
      <w:r w:rsidRPr="0049727A">
        <w:rPr>
          <w:rStyle w:val="Fuerte"/>
          <w:rFonts w:asciiTheme="minorHAnsi" w:hAnsiTheme="minorHAnsi"/>
        </w:rPr>
        <w:t>0.688</w:t>
      </w:r>
      <w:r w:rsidRPr="0049727A">
        <w:rPr>
          <w:rFonts w:asciiTheme="minorHAnsi" w:hAnsiTheme="minorHAnsi"/>
        </w:rPr>
        <w:t xml:space="preserve"> sobre 560 noches. Es reproducibilidad moderada-buena para una medida fisiológica nocturna. El ARI no es ruido: tiene señal consistente dentro del mismo paciente en distintas noches.</w:t>
      </w:r>
    </w:p>
    <w:p w14:paraId="1025B01F" w14:textId="77777777" w:rsidR="002D0686" w:rsidRPr="0049727A" w:rsidRDefault="002D0686" w:rsidP="0049727A">
      <w:pPr>
        <w:pStyle w:val="NormalWeb"/>
        <w:jc w:val="both"/>
        <w:rPr>
          <w:rFonts w:asciiTheme="minorHAnsi" w:hAnsiTheme="minorHAnsi"/>
        </w:rPr>
      </w:pPr>
      <w:r w:rsidRPr="0049727A">
        <w:rPr>
          <w:rStyle w:val="Fuerte"/>
          <w:rFonts w:asciiTheme="minorHAnsi" w:hAnsiTheme="minorHAnsi"/>
        </w:rPr>
        <w:t>Valor predictivo incremental (NB03, R²)</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2252"/>
      </w:tblGrid>
      <w:tr w:rsidR="002D0686" w:rsidRPr="0049727A" w14:paraId="4477269D" w14:textId="77777777" w:rsidTr="009818E7">
        <w:trPr>
          <w:tblHeader/>
          <w:tblCellSpacing w:w="15" w:type="dxa"/>
        </w:trPr>
        <w:tc>
          <w:tcPr>
            <w:tcW w:w="0" w:type="auto"/>
            <w:vAlign w:val="center"/>
            <w:hideMark/>
          </w:tcPr>
          <w:p w14:paraId="10E24DFC" w14:textId="77777777" w:rsidR="002D0686" w:rsidRPr="0049727A" w:rsidRDefault="002D0686" w:rsidP="0049727A">
            <w:pPr>
              <w:jc w:val="both"/>
              <w:rPr>
                <w:rFonts w:asciiTheme="minorHAnsi" w:hAnsiTheme="minorHAnsi"/>
                <w:b/>
                <w:bCs/>
              </w:rPr>
            </w:pPr>
            <w:r w:rsidRPr="0049727A">
              <w:rPr>
                <w:rFonts w:asciiTheme="minorHAnsi" w:hAnsiTheme="minorHAnsi"/>
                <w:b/>
                <w:bCs/>
              </w:rPr>
              <w:t>Modelo</w:t>
            </w:r>
          </w:p>
        </w:tc>
        <w:tc>
          <w:tcPr>
            <w:tcW w:w="0" w:type="auto"/>
            <w:vAlign w:val="center"/>
            <w:hideMark/>
          </w:tcPr>
          <w:p w14:paraId="54D68347" w14:textId="77777777" w:rsidR="002D0686" w:rsidRPr="0049727A" w:rsidRDefault="002D0686" w:rsidP="0049727A">
            <w:pPr>
              <w:jc w:val="both"/>
              <w:rPr>
                <w:rFonts w:asciiTheme="minorHAnsi" w:hAnsiTheme="minorHAnsi"/>
                <w:b/>
                <w:bCs/>
              </w:rPr>
            </w:pPr>
            <w:r w:rsidRPr="0049727A">
              <w:rPr>
                <w:rFonts w:asciiTheme="minorHAnsi" w:hAnsiTheme="minorHAnsi"/>
                <w:b/>
                <w:bCs/>
              </w:rPr>
              <w:t>R²</w:t>
            </w:r>
          </w:p>
        </w:tc>
      </w:tr>
      <w:tr w:rsidR="002D0686" w:rsidRPr="0049727A" w14:paraId="65B0636D" w14:textId="77777777" w:rsidTr="009818E7">
        <w:trPr>
          <w:tblCellSpacing w:w="15" w:type="dxa"/>
        </w:trPr>
        <w:tc>
          <w:tcPr>
            <w:tcW w:w="0" w:type="auto"/>
            <w:vAlign w:val="center"/>
            <w:hideMark/>
          </w:tcPr>
          <w:p w14:paraId="2A113D7D" w14:textId="77777777" w:rsidR="002D0686" w:rsidRPr="0049727A" w:rsidRDefault="002D0686" w:rsidP="0049727A">
            <w:pPr>
              <w:jc w:val="both"/>
              <w:rPr>
                <w:rFonts w:asciiTheme="minorHAnsi" w:hAnsiTheme="minorHAnsi"/>
              </w:rPr>
            </w:pPr>
            <w:r w:rsidRPr="0049727A">
              <w:rPr>
                <w:rFonts w:asciiTheme="minorHAnsi" w:hAnsiTheme="minorHAnsi"/>
              </w:rPr>
              <w:t>AHI/ODI3 solos</w:t>
            </w:r>
          </w:p>
        </w:tc>
        <w:tc>
          <w:tcPr>
            <w:tcW w:w="0" w:type="auto"/>
            <w:vAlign w:val="center"/>
            <w:hideMark/>
          </w:tcPr>
          <w:p w14:paraId="72709FD3" w14:textId="77777777" w:rsidR="002D0686" w:rsidRPr="0049727A" w:rsidRDefault="002D0686" w:rsidP="0049727A">
            <w:pPr>
              <w:jc w:val="both"/>
              <w:rPr>
                <w:rFonts w:asciiTheme="minorHAnsi" w:hAnsiTheme="minorHAnsi"/>
              </w:rPr>
            </w:pPr>
            <w:r w:rsidRPr="0049727A">
              <w:rPr>
                <w:rFonts w:asciiTheme="minorHAnsi" w:hAnsiTheme="minorHAnsi"/>
              </w:rPr>
              <w:t>9.4–9.6 %</w:t>
            </w:r>
          </w:p>
        </w:tc>
      </w:tr>
      <w:tr w:rsidR="002D0686" w:rsidRPr="0049727A" w14:paraId="4FD5D123" w14:textId="77777777" w:rsidTr="009818E7">
        <w:trPr>
          <w:tblCellSpacing w:w="15" w:type="dxa"/>
        </w:trPr>
        <w:tc>
          <w:tcPr>
            <w:tcW w:w="0" w:type="auto"/>
            <w:vAlign w:val="center"/>
            <w:hideMark/>
          </w:tcPr>
          <w:p w14:paraId="3AE33D84" w14:textId="77777777" w:rsidR="002D0686" w:rsidRPr="0049727A" w:rsidRDefault="002D0686" w:rsidP="0049727A">
            <w:pPr>
              <w:jc w:val="both"/>
              <w:rPr>
                <w:rFonts w:asciiTheme="minorHAnsi" w:hAnsiTheme="minorHAnsi"/>
              </w:rPr>
            </w:pPr>
            <w:r w:rsidRPr="0049727A">
              <w:rPr>
                <w:rFonts w:asciiTheme="minorHAnsi" w:hAnsiTheme="minorHAnsi"/>
              </w:rPr>
              <w:t>+ ARI</w:t>
            </w:r>
          </w:p>
        </w:tc>
        <w:tc>
          <w:tcPr>
            <w:tcW w:w="0" w:type="auto"/>
            <w:vAlign w:val="center"/>
            <w:hideMark/>
          </w:tcPr>
          <w:p w14:paraId="3ABBC087" w14:textId="77777777" w:rsidR="002D0686" w:rsidRPr="0049727A" w:rsidRDefault="002D0686" w:rsidP="0049727A">
            <w:pPr>
              <w:jc w:val="both"/>
              <w:rPr>
                <w:rFonts w:asciiTheme="minorHAnsi" w:hAnsiTheme="minorHAnsi"/>
              </w:rPr>
            </w:pPr>
            <w:r w:rsidRPr="0049727A">
              <w:rPr>
                <w:rFonts w:asciiTheme="minorHAnsi" w:hAnsiTheme="minorHAnsi"/>
              </w:rPr>
              <w:t>22.7–22.9 % (+13.3 pp)</w:t>
            </w:r>
          </w:p>
        </w:tc>
      </w:tr>
      <w:tr w:rsidR="002D0686" w:rsidRPr="0049727A" w14:paraId="5D0949E0" w14:textId="77777777" w:rsidTr="009818E7">
        <w:trPr>
          <w:tblCellSpacing w:w="15" w:type="dxa"/>
        </w:trPr>
        <w:tc>
          <w:tcPr>
            <w:tcW w:w="0" w:type="auto"/>
            <w:vAlign w:val="center"/>
            <w:hideMark/>
          </w:tcPr>
          <w:p w14:paraId="58C4FA3D" w14:textId="77777777" w:rsidR="002D0686" w:rsidRPr="0049727A" w:rsidRDefault="002D0686" w:rsidP="0049727A">
            <w:pPr>
              <w:jc w:val="both"/>
              <w:rPr>
                <w:rFonts w:asciiTheme="minorHAnsi" w:hAnsiTheme="minorHAnsi"/>
              </w:rPr>
            </w:pPr>
            <w:r w:rsidRPr="0049727A">
              <w:rPr>
                <w:rFonts w:asciiTheme="minorHAnsi" w:hAnsiTheme="minorHAnsi"/>
              </w:rPr>
              <w:t>T90 solo</w:t>
            </w:r>
          </w:p>
        </w:tc>
        <w:tc>
          <w:tcPr>
            <w:tcW w:w="0" w:type="auto"/>
            <w:vAlign w:val="center"/>
            <w:hideMark/>
          </w:tcPr>
          <w:p w14:paraId="17C0DDCA" w14:textId="77777777" w:rsidR="002D0686" w:rsidRPr="0049727A" w:rsidRDefault="002D0686" w:rsidP="0049727A">
            <w:pPr>
              <w:jc w:val="both"/>
              <w:rPr>
                <w:rFonts w:asciiTheme="minorHAnsi" w:hAnsiTheme="minorHAnsi"/>
              </w:rPr>
            </w:pPr>
            <w:r w:rsidRPr="0049727A">
              <w:rPr>
                <w:rFonts w:asciiTheme="minorHAnsi" w:hAnsiTheme="minorHAnsi"/>
              </w:rPr>
              <w:t>50.6 %</w:t>
            </w:r>
          </w:p>
        </w:tc>
      </w:tr>
      <w:tr w:rsidR="002D0686" w:rsidRPr="0049727A" w14:paraId="5C08EA97" w14:textId="77777777" w:rsidTr="009818E7">
        <w:trPr>
          <w:tblCellSpacing w:w="15" w:type="dxa"/>
        </w:trPr>
        <w:tc>
          <w:tcPr>
            <w:tcW w:w="0" w:type="auto"/>
            <w:vAlign w:val="center"/>
            <w:hideMark/>
          </w:tcPr>
          <w:p w14:paraId="4863F8C1" w14:textId="77777777" w:rsidR="002D0686" w:rsidRPr="0049727A" w:rsidRDefault="002D0686" w:rsidP="0049727A">
            <w:pPr>
              <w:jc w:val="both"/>
              <w:rPr>
                <w:rFonts w:asciiTheme="minorHAnsi" w:hAnsiTheme="minorHAnsi"/>
              </w:rPr>
            </w:pPr>
            <w:r w:rsidRPr="0049727A">
              <w:rPr>
                <w:rFonts w:asciiTheme="minorHAnsi" w:hAnsiTheme="minorHAnsi"/>
              </w:rPr>
              <w:t>+ ARI</w:t>
            </w:r>
          </w:p>
        </w:tc>
        <w:tc>
          <w:tcPr>
            <w:tcW w:w="0" w:type="auto"/>
            <w:vAlign w:val="center"/>
            <w:hideMark/>
          </w:tcPr>
          <w:p w14:paraId="3E4AF0E9" w14:textId="77777777" w:rsidR="002D0686" w:rsidRPr="0049727A" w:rsidRDefault="002D0686" w:rsidP="0049727A">
            <w:pPr>
              <w:jc w:val="both"/>
              <w:rPr>
                <w:rFonts w:asciiTheme="minorHAnsi" w:hAnsiTheme="minorHAnsi"/>
              </w:rPr>
            </w:pPr>
            <w:r w:rsidRPr="0049727A">
              <w:rPr>
                <w:rFonts w:asciiTheme="minorHAnsi" w:hAnsiTheme="minorHAnsi"/>
              </w:rPr>
              <w:t>52.8 % (+2.2 pp)</w:t>
            </w:r>
          </w:p>
        </w:tc>
      </w:tr>
      <w:tr w:rsidR="002D0686" w:rsidRPr="0049727A" w14:paraId="40358742" w14:textId="77777777" w:rsidTr="009818E7">
        <w:trPr>
          <w:tblCellSpacing w:w="15" w:type="dxa"/>
        </w:trPr>
        <w:tc>
          <w:tcPr>
            <w:tcW w:w="0" w:type="auto"/>
            <w:vAlign w:val="center"/>
            <w:hideMark/>
          </w:tcPr>
          <w:p w14:paraId="5D1C9BCA" w14:textId="77777777" w:rsidR="002D0686" w:rsidRPr="0049727A" w:rsidRDefault="002D0686" w:rsidP="0049727A">
            <w:pPr>
              <w:jc w:val="both"/>
              <w:rPr>
                <w:rFonts w:asciiTheme="minorHAnsi" w:hAnsiTheme="minorHAnsi"/>
              </w:rPr>
            </w:pPr>
            <w:r w:rsidRPr="0049727A">
              <w:rPr>
                <w:rFonts w:asciiTheme="minorHAnsi" w:hAnsiTheme="minorHAnsi"/>
              </w:rPr>
              <w:t>HB solo</w:t>
            </w:r>
          </w:p>
        </w:tc>
        <w:tc>
          <w:tcPr>
            <w:tcW w:w="0" w:type="auto"/>
            <w:vAlign w:val="center"/>
            <w:hideMark/>
          </w:tcPr>
          <w:p w14:paraId="2D9174AB" w14:textId="77777777" w:rsidR="002D0686" w:rsidRPr="0049727A" w:rsidRDefault="002D0686" w:rsidP="0049727A">
            <w:pPr>
              <w:jc w:val="both"/>
              <w:rPr>
                <w:rFonts w:asciiTheme="minorHAnsi" w:hAnsiTheme="minorHAnsi"/>
              </w:rPr>
            </w:pPr>
            <w:r w:rsidRPr="0049727A">
              <w:rPr>
                <w:rFonts w:asciiTheme="minorHAnsi" w:hAnsiTheme="minorHAnsi"/>
              </w:rPr>
              <w:t>45.7 %</w:t>
            </w:r>
          </w:p>
        </w:tc>
      </w:tr>
      <w:tr w:rsidR="002D0686" w:rsidRPr="0049727A" w14:paraId="4D1093F7" w14:textId="77777777" w:rsidTr="009818E7">
        <w:trPr>
          <w:tblCellSpacing w:w="15" w:type="dxa"/>
        </w:trPr>
        <w:tc>
          <w:tcPr>
            <w:tcW w:w="0" w:type="auto"/>
            <w:vAlign w:val="center"/>
            <w:hideMark/>
          </w:tcPr>
          <w:p w14:paraId="6092BF39" w14:textId="77777777" w:rsidR="002D0686" w:rsidRPr="0049727A" w:rsidRDefault="002D0686" w:rsidP="0049727A">
            <w:pPr>
              <w:jc w:val="both"/>
              <w:rPr>
                <w:rFonts w:asciiTheme="minorHAnsi" w:hAnsiTheme="minorHAnsi"/>
              </w:rPr>
            </w:pPr>
            <w:r w:rsidRPr="0049727A">
              <w:rPr>
                <w:rFonts w:asciiTheme="minorHAnsi" w:hAnsiTheme="minorHAnsi"/>
              </w:rPr>
              <w:t>+ ARI</w:t>
            </w:r>
          </w:p>
        </w:tc>
        <w:tc>
          <w:tcPr>
            <w:tcW w:w="0" w:type="auto"/>
            <w:vAlign w:val="center"/>
            <w:hideMark/>
          </w:tcPr>
          <w:p w14:paraId="78BEDC26" w14:textId="77777777" w:rsidR="002D0686" w:rsidRPr="0049727A" w:rsidRDefault="002D0686" w:rsidP="0049727A">
            <w:pPr>
              <w:jc w:val="both"/>
              <w:rPr>
                <w:rFonts w:asciiTheme="minorHAnsi" w:hAnsiTheme="minorHAnsi"/>
              </w:rPr>
            </w:pPr>
            <w:r w:rsidRPr="0049727A">
              <w:rPr>
                <w:rFonts w:asciiTheme="minorHAnsi" w:hAnsiTheme="minorHAnsi"/>
              </w:rPr>
              <w:t>48.6 % (+2.9 pp)</w:t>
            </w:r>
          </w:p>
        </w:tc>
      </w:tr>
    </w:tbl>
    <w:p w14:paraId="100955CE" w14:textId="77777777" w:rsidR="002D0686" w:rsidRPr="0049727A" w:rsidRDefault="002D0686" w:rsidP="0049727A">
      <w:pPr>
        <w:pStyle w:val="NormalWeb"/>
        <w:jc w:val="both"/>
        <w:rPr>
          <w:rFonts w:asciiTheme="minorHAnsi" w:hAnsiTheme="minorHAnsi"/>
        </w:rPr>
      </w:pPr>
      <w:r w:rsidRPr="0049727A">
        <w:rPr>
          <w:rFonts w:asciiTheme="minorHAnsi" w:hAnsiTheme="minorHAnsi"/>
        </w:rPr>
        <w:t>El aporte de ARI es grande sobre índices de frecuencia (AHI/ODI3) y modesto sobre índices de carga hipóxica (T90, HB). Tiene sentido: T90 y HB ya capturan algo de la respuesta integrada; ARI añade la dimensión autonómica que AHI/ODI3 ignoran completamente.</w:t>
      </w:r>
    </w:p>
    <w:p w14:paraId="512D88F7" w14:textId="77777777" w:rsidR="002D0686" w:rsidRPr="0049727A" w:rsidRDefault="002D0686" w:rsidP="0049727A">
      <w:pPr>
        <w:pStyle w:val="NormalWeb"/>
        <w:jc w:val="both"/>
        <w:rPr>
          <w:rFonts w:asciiTheme="minorHAnsi" w:hAnsiTheme="minorHAnsi"/>
        </w:rPr>
      </w:pPr>
      <w:r w:rsidRPr="0049727A">
        <w:rPr>
          <w:rStyle w:val="Fuerte"/>
          <w:rFonts w:asciiTheme="minorHAnsi" w:hAnsiTheme="minorHAnsi"/>
        </w:rPr>
        <w:t>El hallazgo más robusto: análisis within-stratum (NB03)</w:t>
      </w:r>
    </w:p>
    <w:p w14:paraId="5AEC505C" w14:textId="77777777" w:rsidR="002D0686" w:rsidRPr="0049727A" w:rsidRDefault="002D0686" w:rsidP="0049727A">
      <w:pPr>
        <w:pStyle w:val="NormalWeb"/>
        <w:jc w:val="both"/>
        <w:rPr>
          <w:rFonts w:asciiTheme="minorHAnsi" w:hAnsiTheme="minorHAnsi"/>
        </w:rPr>
      </w:pPr>
      <w:r w:rsidRPr="0049727A">
        <w:rPr>
          <w:rFonts w:asciiTheme="minorHAnsi" w:hAnsiTheme="minorHAnsi"/>
        </w:rPr>
        <w:lastRenderedPageBreak/>
        <w:t xml:space="preserve">Dividiendo cada estrato AASM por la mediana de ARI, el HR gain es </w:t>
      </w:r>
      <w:r w:rsidRPr="0049727A">
        <w:rPr>
          <w:rStyle w:val="Fuerte"/>
          <w:rFonts w:asciiTheme="minorHAnsi" w:hAnsiTheme="minorHAnsi"/>
        </w:rPr>
        <w:t>***</w:t>
      </w:r>
      <w:r w:rsidRPr="0049727A">
        <w:rPr>
          <w:rFonts w:asciiTheme="minorHAnsi" w:hAnsiTheme="minorHAnsi"/>
        </w:rPr>
        <w:t xml:space="preserve"> (p&lt;0.001) en los cuatro estratos — incluyendo el estrato Moderado donde T90 y HB </w:t>
      </w:r>
      <w:r w:rsidRPr="0049727A">
        <w:rPr>
          <w:rStyle w:val="Fuerte"/>
          <w:rFonts w:asciiTheme="minorHAnsi" w:hAnsiTheme="minorHAnsi"/>
        </w:rPr>
        <w:t>no son significativos</w:t>
      </w:r>
      <w:r w:rsidRPr="0049727A">
        <w:rPr>
          <w:rFonts w:asciiTheme="minorHAnsi" w:hAnsiTheme="minorHAnsi"/>
        </w:rPr>
        <w:t>. Esto es lo más clínicamente relevante: en pacientes que los índices clásicos no logran estratificar dentro del mismo estrato de gravedad, ARI sí discrimina.</w:t>
      </w:r>
    </w:p>
    <w:p w14:paraId="36D3B117" w14:textId="77777777" w:rsidR="002D0686" w:rsidRPr="0049727A" w:rsidRDefault="00D43A48" w:rsidP="0049727A">
      <w:pPr>
        <w:jc w:val="both"/>
        <w:rPr>
          <w:rFonts w:asciiTheme="minorHAnsi" w:hAnsiTheme="minorHAnsi"/>
        </w:rPr>
      </w:pPr>
      <w:r w:rsidRPr="00D43A48">
        <w:rPr>
          <w:rFonts w:asciiTheme="minorHAnsi" w:hAnsiTheme="minorHAnsi"/>
          <w:noProof/>
        </w:rPr>
        <w:pict w14:anchorId="14C9EEB1">
          <v:rect id="_x0000_i1026" alt="" style="width:432.2pt;height:.05pt;mso-width-percent:0;mso-height-percent:0;mso-width-percent:0;mso-height-percent:0" o:hrpct="978" o:hralign="center" o:hrstd="t" o:hr="t" fillcolor="#a0a0a0" stroked="f"/>
        </w:pict>
      </w:r>
    </w:p>
    <w:p w14:paraId="723D86C2" w14:textId="77777777" w:rsidR="002D0686" w:rsidRPr="0049727A" w:rsidRDefault="002D0686" w:rsidP="0049727A">
      <w:pPr>
        <w:pStyle w:val="Ttulo3"/>
        <w:jc w:val="both"/>
        <w:rPr>
          <w:rFonts w:asciiTheme="minorHAnsi" w:hAnsiTheme="minorHAnsi"/>
        </w:rPr>
      </w:pPr>
      <w:r w:rsidRPr="0049727A">
        <w:rPr>
          <w:rFonts w:asciiTheme="minorHAnsi" w:hAnsiTheme="minorHAnsi"/>
        </w:rPr>
        <w:t>Lo que ARI no ha demostrado todavía</w:t>
      </w:r>
    </w:p>
    <w:p w14:paraId="3D67C4A7" w14:textId="77777777" w:rsidR="002D0686" w:rsidRPr="0049727A" w:rsidRDefault="002D0686" w:rsidP="0049727A">
      <w:pPr>
        <w:numPr>
          <w:ilvl w:val="0"/>
          <w:numId w:val="3"/>
        </w:numPr>
        <w:spacing w:before="100" w:beforeAutospacing="1" w:after="100" w:afterAutospacing="1"/>
        <w:jc w:val="both"/>
        <w:rPr>
          <w:rFonts w:asciiTheme="minorHAnsi" w:hAnsiTheme="minorHAnsi"/>
        </w:rPr>
      </w:pPr>
      <w:r w:rsidRPr="0049727A">
        <w:rPr>
          <w:rStyle w:val="Fuerte"/>
          <w:rFonts w:asciiTheme="minorHAnsi" w:hAnsiTheme="minorHAnsi"/>
        </w:rPr>
        <w:t>Utilidad clínica prospectiva:</w:t>
      </w:r>
      <w:r w:rsidRPr="0049727A">
        <w:rPr>
          <w:rFonts w:asciiTheme="minorHAnsi" w:hAnsiTheme="minorHAnsi"/>
        </w:rPr>
        <w:t xml:space="preserve"> no hay seguimiento de outcomes (presión arterial, eventos cardiovasculares, calidad de sueño subjetiva). Los datos son transversales.</w:t>
      </w:r>
    </w:p>
    <w:p w14:paraId="50EFFE07" w14:textId="77777777" w:rsidR="002D0686" w:rsidRPr="0049727A" w:rsidRDefault="002D0686" w:rsidP="0049727A">
      <w:pPr>
        <w:numPr>
          <w:ilvl w:val="0"/>
          <w:numId w:val="3"/>
        </w:numPr>
        <w:spacing w:before="100" w:beforeAutospacing="1" w:after="100" w:afterAutospacing="1"/>
        <w:jc w:val="both"/>
        <w:rPr>
          <w:rFonts w:asciiTheme="minorHAnsi" w:hAnsiTheme="minorHAnsi"/>
        </w:rPr>
      </w:pPr>
      <w:r w:rsidRPr="0049727A">
        <w:rPr>
          <w:rStyle w:val="Fuerte"/>
          <w:rFonts w:asciiTheme="minorHAnsi" w:hAnsiTheme="minorHAnsi"/>
        </w:rPr>
        <w:t>Causalidad:</w:t>
      </w:r>
      <w:r w:rsidRPr="0049727A">
        <w:rPr>
          <w:rFonts w:asciiTheme="minorHAnsi" w:hAnsiTheme="minorHAnsi"/>
        </w:rPr>
        <w:t xml:space="preserve"> sabemos que ARI correlaciona con HR gain, pero no que predice respuesta a tratamiento ni cambio en CPAP.</w:t>
      </w:r>
    </w:p>
    <w:p w14:paraId="21F137B3" w14:textId="77777777" w:rsidR="002D0686" w:rsidRPr="0049727A" w:rsidRDefault="002D0686" w:rsidP="0049727A">
      <w:pPr>
        <w:numPr>
          <w:ilvl w:val="0"/>
          <w:numId w:val="3"/>
        </w:numPr>
        <w:spacing w:before="100" w:beforeAutospacing="1" w:after="100" w:afterAutospacing="1"/>
        <w:jc w:val="both"/>
        <w:rPr>
          <w:rFonts w:asciiTheme="minorHAnsi" w:hAnsiTheme="minorHAnsi"/>
        </w:rPr>
      </w:pPr>
      <w:r w:rsidRPr="0049727A">
        <w:rPr>
          <w:rStyle w:val="Fuerte"/>
          <w:rFonts w:asciiTheme="minorHAnsi" w:hAnsiTheme="minorHAnsi"/>
        </w:rPr>
        <w:t>Validación externa:</w:t>
      </w:r>
      <w:r w:rsidRPr="0049727A">
        <w:rPr>
          <w:rFonts w:asciiTheme="minorHAnsi" w:hAnsiTheme="minorHAnsi"/>
        </w:rPr>
        <w:t xml:space="preserve"> todo el análisis es sobre el corpus PAC_v2. No hay cohorte de validación independiente.</w:t>
      </w:r>
    </w:p>
    <w:p w14:paraId="3DF289BF" w14:textId="77777777" w:rsidR="002D0686" w:rsidRPr="0049727A" w:rsidRDefault="002D0686" w:rsidP="0049727A">
      <w:pPr>
        <w:numPr>
          <w:ilvl w:val="0"/>
          <w:numId w:val="3"/>
        </w:numPr>
        <w:spacing w:before="100" w:beforeAutospacing="1" w:after="100" w:afterAutospacing="1"/>
        <w:jc w:val="both"/>
        <w:rPr>
          <w:rFonts w:asciiTheme="minorHAnsi" w:hAnsiTheme="minorHAnsi"/>
        </w:rPr>
      </w:pPr>
      <w:r w:rsidRPr="0049727A">
        <w:rPr>
          <w:rStyle w:val="Fuerte"/>
          <w:rFonts w:asciiTheme="minorHAnsi" w:hAnsiTheme="minorHAnsi"/>
        </w:rPr>
        <w:t>Umbral clínico:</w:t>
      </w:r>
      <w:r w:rsidRPr="0049727A">
        <w:rPr>
          <w:rFonts w:asciiTheme="minorHAnsi" w:hAnsiTheme="minorHAnsi"/>
        </w:rPr>
        <w:t xml:space="preserve"> no existe aún un punto de corte ARI con sensibilidad/especificidad validadas para ninguna decisión clínica.</w:t>
      </w:r>
    </w:p>
    <w:p w14:paraId="1C9B3550" w14:textId="77777777" w:rsidR="002D0686" w:rsidRPr="0049727A" w:rsidRDefault="00D43A48" w:rsidP="0049727A">
      <w:pPr>
        <w:spacing w:after="0"/>
        <w:jc w:val="both"/>
        <w:rPr>
          <w:rFonts w:asciiTheme="minorHAnsi" w:hAnsiTheme="minorHAnsi"/>
        </w:rPr>
      </w:pPr>
      <w:r w:rsidRPr="00D43A48">
        <w:rPr>
          <w:rFonts w:asciiTheme="minorHAnsi" w:hAnsiTheme="minorHAnsi"/>
          <w:noProof/>
        </w:rPr>
        <w:pict w14:anchorId="65B51F42">
          <v:rect id="_x0000_i1025" alt="" style="width:432.2pt;height:.05pt;mso-width-percent:0;mso-height-percent:0;mso-width-percent:0;mso-height-percent:0" o:hrpct="978" o:hralign="center" o:hrstd="t" o:hr="t" fillcolor="#a0a0a0" stroked="f"/>
        </w:pict>
      </w:r>
    </w:p>
    <w:p w14:paraId="0958F823" w14:textId="77777777" w:rsidR="002D0686" w:rsidRPr="0049727A" w:rsidRDefault="002D0686" w:rsidP="0049727A">
      <w:pPr>
        <w:pStyle w:val="Ttulo3"/>
        <w:jc w:val="both"/>
        <w:rPr>
          <w:rFonts w:asciiTheme="minorHAnsi" w:hAnsiTheme="minorHAnsi"/>
        </w:rPr>
      </w:pPr>
      <w:r w:rsidRPr="0049727A">
        <w:rPr>
          <w:rFonts w:asciiTheme="minorHAnsi" w:hAnsiTheme="minorHAnsi"/>
        </w:rPr>
        <w:t>Veredicto</w:t>
      </w:r>
    </w:p>
    <w:p w14:paraId="3534016D" w14:textId="77777777" w:rsidR="002D0686" w:rsidRPr="0049727A" w:rsidRDefault="002D0686" w:rsidP="0049727A">
      <w:pPr>
        <w:pStyle w:val="NormalWeb"/>
        <w:jc w:val="both"/>
        <w:rPr>
          <w:rFonts w:asciiTheme="minorHAnsi" w:hAnsiTheme="minorHAnsi"/>
        </w:rPr>
      </w:pPr>
      <w:r w:rsidRPr="0049727A">
        <w:rPr>
          <w:rStyle w:val="Fuerte"/>
          <w:rFonts w:asciiTheme="minorHAnsi" w:hAnsiTheme="minorHAnsi"/>
        </w:rPr>
        <w:t>ARI es un aporte metodológicamente sólido en este análisis, con utilidad clínica potencial pero no demostrada.</w:t>
      </w:r>
    </w:p>
    <w:p w14:paraId="27277A9B" w14:textId="77777777" w:rsidR="002D0686" w:rsidRPr="0049727A" w:rsidRDefault="002D0686" w:rsidP="0049727A">
      <w:pPr>
        <w:pStyle w:val="NormalWeb"/>
        <w:jc w:val="both"/>
        <w:rPr>
          <w:rFonts w:asciiTheme="minorHAnsi" w:hAnsiTheme="minorHAnsi"/>
        </w:rPr>
      </w:pPr>
      <w:r w:rsidRPr="0049727A">
        <w:rPr>
          <w:rFonts w:asciiTheme="minorHAnsi" w:hAnsiTheme="minorHAnsi"/>
        </w:rPr>
        <w:t>Lo que sí está demostrado en estos datos es validez de constructo: ARI mide algo real (respuesta autonómica), estable (ICC 0.69), ortogonal a la morfología (ρ≈0), e independientemente informativo respecto a los índices clásicos (ΔR²=13pp sobre AHI). El hallazgo within-stratum — que en el estrato Moderado ARI discrimina donde T90 y HB no pueden — es el argumento más fuerte para su relevancia clínica futura.</w:t>
      </w:r>
    </w:p>
    <w:p w14:paraId="30975524" w14:textId="77777777" w:rsidR="002D0686" w:rsidRPr="0049727A" w:rsidRDefault="002D0686" w:rsidP="0049727A">
      <w:pPr>
        <w:pStyle w:val="NormalWeb"/>
        <w:jc w:val="both"/>
        <w:rPr>
          <w:rFonts w:asciiTheme="minorHAnsi" w:hAnsiTheme="minorHAnsi"/>
        </w:rPr>
      </w:pPr>
      <w:r w:rsidRPr="0049727A">
        <w:rPr>
          <w:rFonts w:asciiTheme="minorHAnsi" w:hAnsiTheme="minorHAnsi"/>
        </w:rPr>
        <w:t xml:space="preserve">El siguiente paso necesario para hablar de </w:t>
      </w:r>
      <w:r w:rsidRPr="0049727A">
        <w:rPr>
          <w:rStyle w:val="Fuerte"/>
          <w:rFonts w:asciiTheme="minorHAnsi" w:hAnsiTheme="minorHAnsi"/>
        </w:rPr>
        <w:t>utilidad clínica</w:t>
      </w:r>
      <w:r w:rsidRPr="0049727A">
        <w:rPr>
          <w:rFonts w:asciiTheme="minorHAnsi" w:hAnsiTheme="minorHAnsi"/>
        </w:rPr>
        <w:t xml:space="preserve"> sería correlacionar ARI con algún outcome longitudinal o con respuesta al tratamiento. Hasta entonces, ARI es un índice con validez de constructo demostrada y potencial clínico que requiere confirmación prospectiva.</w:t>
      </w:r>
    </w:p>
    <w:p w14:paraId="487622B6" w14:textId="39129C29" w:rsidR="002D0686" w:rsidRPr="0049727A" w:rsidRDefault="002D0686" w:rsidP="0049727A">
      <w:pPr>
        <w:pStyle w:val="Ttulo2"/>
        <w:jc w:val="both"/>
        <w:rPr>
          <w:rFonts w:asciiTheme="minorHAnsi" w:eastAsia="Times New Roman" w:hAnsiTheme="minorHAnsi" w:cs="Times New Roman"/>
          <w:color w:val="auto"/>
        </w:rPr>
      </w:pPr>
      <w:r w:rsidRPr="0049727A">
        <w:rPr>
          <w:rFonts w:asciiTheme="minorHAnsi" w:hAnsiTheme="minorHAnsi"/>
        </w:rPr>
        <w:t>Qué significa que sea ortogonal a la morfología?</w:t>
      </w:r>
    </w:p>
    <w:p w14:paraId="759F7C8A" w14:textId="6AE403E4" w:rsidR="002D0686" w:rsidRPr="0049727A" w:rsidRDefault="002D0686" w:rsidP="0049727A">
      <w:pPr>
        <w:spacing w:before="100" w:beforeAutospacing="1" w:after="100" w:afterAutospacing="1"/>
        <w:jc w:val="both"/>
        <w:rPr>
          <w:rFonts w:asciiTheme="minorHAnsi" w:eastAsia="Times New Roman" w:hAnsiTheme="minorHAnsi" w:cs="Times New Roman"/>
          <w:color w:val="auto"/>
          <w:sz w:val="24"/>
          <w:szCs w:val="24"/>
        </w:rPr>
      </w:pPr>
      <w:r w:rsidRPr="0049727A">
        <w:rPr>
          <w:rFonts w:asciiTheme="minorHAnsi" w:eastAsia="Times New Roman" w:hAnsiTheme="minorHAnsi" w:cs="Times New Roman"/>
          <w:color w:val="auto"/>
          <w:sz w:val="24"/>
          <w:szCs w:val="24"/>
        </w:rPr>
        <w:t xml:space="preserve">Significa que </w:t>
      </w:r>
      <w:r w:rsidRPr="0049727A">
        <w:rPr>
          <w:rFonts w:asciiTheme="minorHAnsi" w:eastAsia="Times New Roman" w:hAnsiTheme="minorHAnsi" w:cs="Times New Roman"/>
          <w:b/>
          <w:bCs/>
          <w:color w:val="auto"/>
          <w:sz w:val="24"/>
          <w:szCs w:val="24"/>
        </w:rPr>
        <w:t>son dos cosas independientes</w:t>
      </w:r>
      <w:r w:rsidRPr="0049727A">
        <w:rPr>
          <w:rFonts w:asciiTheme="minorHAnsi" w:eastAsia="Times New Roman" w:hAnsiTheme="minorHAnsi" w:cs="Times New Roman"/>
          <w:color w:val="auto"/>
          <w:sz w:val="24"/>
          <w:szCs w:val="24"/>
        </w:rPr>
        <w:t xml:space="preserve"> — saber el valor de una no te dice nada sobre la otra.</w:t>
      </w:r>
    </w:p>
    <w:p w14:paraId="0279BBFD" w14:textId="77777777" w:rsidR="002D0686" w:rsidRPr="0049727A" w:rsidRDefault="002D0686" w:rsidP="0049727A">
      <w:pPr>
        <w:spacing w:before="100" w:beforeAutospacing="1" w:after="100" w:afterAutospacing="1"/>
        <w:jc w:val="both"/>
        <w:rPr>
          <w:rFonts w:asciiTheme="minorHAnsi" w:eastAsia="Times New Roman" w:hAnsiTheme="minorHAnsi" w:cs="Times New Roman"/>
          <w:color w:val="auto"/>
          <w:sz w:val="24"/>
          <w:szCs w:val="24"/>
        </w:rPr>
      </w:pPr>
      <w:r w:rsidRPr="0049727A">
        <w:rPr>
          <w:rFonts w:asciiTheme="minorHAnsi" w:eastAsia="Times New Roman" w:hAnsiTheme="minorHAnsi" w:cs="Times New Roman"/>
          <w:color w:val="auto"/>
          <w:sz w:val="24"/>
          <w:szCs w:val="24"/>
        </w:rPr>
        <w:t>Imagínalo así: si ves un evento de apnea con una curva de desaturación muy profunda (morfotipo severo, C4/C5), no puedes predecir si ese paciente va a tener una respuesta autonómica fuerte o débil. Y viceversa: un paciente con ARI alto puede tenerlo porque responde mucho a eventos leves. La correlación ρ=0.035 dice que el 99.9% de la varianza de ARI no está explicada por el morfotipo.</w:t>
      </w:r>
    </w:p>
    <w:p w14:paraId="132D8426" w14:textId="77777777" w:rsidR="002D0686" w:rsidRPr="0049727A" w:rsidRDefault="002D0686" w:rsidP="0049727A">
      <w:pPr>
        <w:spacing w:before="100" w:beforeAutospacing="1" w:after="100" w:afterAutospacing="1"/>
        <w:jc w:val="both"/>
        <w:rPr>
          <w:rFonts w:asciiTheme="minorHAnsi" w:eastAsia="Times New Roman" w:hAnsiTheme="minorHAnsi" w:cs="Times New Roman"/>
          <w:color w:val="auto"/>
          <w:sz w:val="24"/>
          <w:szCs w:val="24"/>
        </w:rPr>
      </w:pPr>
      <w:r w:rsidRPr="0049727A">
        <w:rPr>
          <w:rFonts w:asciiTheme="minorHAnsi" w:eastAsia="Times New Roman" w:hAnsiTheme="minorHAnsi" w:cs="Times New Roman"/>
          <w:color w:val="auto"/>
          <w:sz w:val="24"/>
          <w:szCs w:val="24"/>
        </w:rPr>
        <w:lastRenderedPageBreak/>
        <w:t>En términos más concretos: hay cuatro combinaciones posibles en los pacientes, y todas existen en el corpus.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9"/>
        <w:gridCol w:w="4587"/>
        <w:gridCol w:w="3263"/>
      </w:tblGrid>
      <w:tr w:rsidR="002D0686" w:rsidRPr="0049727A" w14:paraId="0734325F" w14:textId="77777777" w:rsidTr="009818E7">
        <w:trPr>
          <w:tblHeader/>
          <w:tblCellSpacing w:w="15" w:type="dxa"/>
        </w:trPr>
        <w:tc>
          <w:tcPr>
            <w:tcW w:w="0" w:type="auto"/>
            <w:vAlign w:val="center"/>
            <w:hideMark/>
          </w:tcPr>
          <w:p w14:paraId="543351DD" w14:textId="77777777" w:rsidR="002D0686" w:rsidRPr="0049727A" w:rsidRDefault="002D0686" w:rsidP="0049727A">
            <w:pPr>
              <w:spacing w:after="0"/>
              <w:jc w:val="both"/>
              <w:rPr>
                <w:rFonts w:asciiTheme="minorHAnsi" w:eastAsia="Times New Roman" w:hAnsiTheme="minorHAnsi" w:cs="Times New Roman"/>
                <w:color w:val="auto"/>
                <w:sz w:val="24"/>
                <w:szCs w:val="24"/>
              </w:rPr>
            </w:pPr>
          </w:p>
        </w:tc>
        <w:tc>
          <w:tcPr>
            <w:tcW w:w="0" w:type="auto"/>
            <w:vAlign w:val="center"/>
            <w:hideMark/>
          </w:tcPr>
          <w:p w14:paraId="4FD874A2" w14:textId="77777777" w:rsidR="002D0686" w:rsidRPr="0049727A" w:rsidRDefault="002D0686" w:rsidP="0049727A">
            <w:pPr>
              <w:spacing w:after="0"/>
              <w:jc w:val="both"/>
              <w:rPr>
                <w:rFonts w:asciiTheme="minorHAnsi" w:eastAsia="Times New Roman" w:hAnsiTheme="minorHAnsi" w:cs="Times New Roman"/>
                <w:b/>
                <w:bCs/>
                <w:color w:val="auto"/>
                <w:sz w:val="24"/>
                <w:szCs w:val="24"/>
              </w:rPr>
            </w:pPr>
            <w:r w:rsidRPr="0049727A">
              <w:rPr>
                <w:rFonts w:asciiTheme="minorHAnsi" w:eastAsia="Times New Roman" w:hAnsiTheme="minorHAnsi" w:cs="Times New Roman"/>
                <w:b/>
                <w:bCs/>
                <w:color w:val="auto"/>
                <w:sz w:val="24"/>
                <w:szCs w:val="24"/>
              </w:rPr>
              <w:t>Morfotipo severo</w:t>
            </w:r>
          </w:p>
        </w:tc>
        <w:tc>
          <w:tcPr>
            <w:tcW w:w="0" w:type="auto"/>
            <w:vAlign w:val="center"/>
            <w:hideMark/>
          </w:tcPr>
          <w:p w14:paraId="3DFF5387" w14:textId="77777777" w:rsidR="002D0686" w:rsidRPr="0049727A" w:rsidRDefault="002D0686" w:rsidP="0049727A">
            <w:pPr>
              <w:spacing w:after="0"/>
              <w:jc w:val="both"/>
              <w:rPr>
                <w:rFonts w:asciiTheme="minorHAnsi" w:eastAsia="Times New Roman" w:hAnsiTheme="minorHAnsi" w:cs="Times New Roman"/>
                <w:b/>
                <w:bCs/>
                <w:color w:val="auto"/>
                <w:sz w:val="24"/>
                <w:szCs w:val="24"/>
              </w:rPr>
            </w:pPr>
            <w:r w:rsidRPr="0049727A">
              <w:rPr>
                <w:rFonts w:asciiTheme="minorHAnsi" w:eastAsia="Times New Roman" w:hAnsiTheme="minorHAnsi" w:cs="Times New Roman"/>
                <w:b/>
                <w:bCs/>
                <w:color w:val="auto"/>
                <w:sz w:val="24"/>
                <w:szCs w:val="24"/>
              </w:rPr>
              <w:t>Morfotipo leve</w:t>
            </w:r>
          </w:p>
        </w:tc>
      </w:tr>
      <w:tr w:rsidR="002D0686" w:rsidRPr="0049727A" w14:paraId="5986486B" w14:textId="77777777" w:rsidTr="009818E7">
        <w:trPr>
          <w:tblCellSpacing w:w="15" w:type="dxa"/>
        </w:trPr>
        <w:tc>
          <w:tcPr>
            <w:tcW w:w="0" w:type="auto"/>
            <w:vAlign w:val="center"/>
            <w:hideMark/>
          </w:tcPr>
          <w:p w14:paraId="787D0F32" w14:textId="77777777" w:rsidR="002D0686" w:rsidRPr="0049727A" w:rsidRDefault="002D0686" w:rsidP="0049727A">
            <w:pPr>
              <w:spacing w:after="0"/>
              <w:jc w:val="both"/>
              <w:rPr>
                <w:rFonts w:asciiTheme="minorHAnsi" w:eastAsia="Times New Roman" w:hAnsiTheme="minorHAnsi" w:cs="Times New Roman"/>
                <w:color w:val="auto"/>
                <w:sz w:val="24"/>
                <w:szCs w:val="24"/>
              </w:rPr>
            </w:pPr>
            <w:r w:rsidRPr="0049727A">
              <w:rPr>
                <w:rFonts w:asciiTheme="minorHAnsi" w:eastAsia="Times New Roman" w:hAnsiTheme="minorHAnsi" w:cs="Times New Roman"/>
                <w:b/>
                <w:bCs/>
                <w:color w:val="auto"/>
                <w:sz w:val="24"/>
                <w:szCs w:val="24"/>
              </w:rPr>
              <w:t>ARI alto</w:t>
            </w:r>
          </w:p>
        </w:tc>
        <w:tc>
          <w:tcPr>
            <w:tcW w:w="0" w:type="auto"/>
            <w:vAlign w:val="center"/>
            <w:hideMark/>
          </w:tcPr>
          <w:p w14:paraId="70BCE334" w14:textId="77777777" w:rsidR="002D0686" w:rsidRPr="0049727A" w:rsidRDefault="002D0686" w:rsidP="0049727A">
            <w:pPr>
              <w:spacing w:after="0"/>
              <w:jc w:val="both"/>
              <w:rPr>
                <w:rFonts w:asciiTheme="minorHAnsi" w:eastAsia="Times New Roman" w:hAnsiTheme="minorHAnsi" w:cs="Times New Roman"/>
                <w:color w:val="auto"/>
                <w:sz w:val="24"/>
                <w:szCs w:val="24"/>
              </w:rPr>
            </w:pPr>
            <w:r w:rsidRPr="0049727A">
              <w:rPr>
                <w:rFonts w:asciiTheme="minorHAnsi" w:eastAsia="Times New Roman" w:hAnsiTheme="minorHAnsi" w:cs="Times New Roman"/>
                <w:color w:val="auto"/>
                <w:sz w:val="24"/>
                <w:szCs w:val="24"/>
              </w:rPr>
              <w:t>Desaturación profunda + respuesta autonómica fuerte</w:t>
            </w:r>
          </w:p>
        </w:tc>
        <w:tc>
          <w:tcPr>
            <w:tcW w:w="0" w:type="auto"/>
            <w:vAlign w:val="center"/>
            <w:hideMark/>
          </w:tcPr>
          <w:p w14:paraId="19652D44" w14:textId="77777777" w:rsidR="002D0686" w:rsidRPr="0049727A" w:rsidRDefault="002D0686" w:rsidP="0049727A">
            <w:pPr>
              <w:spacing w:after="0"/>
              <w:jc w:val="both"/>
              <w:rPr>
                <w:rFonts w:asciiTheme="minorHAnsi" w:eastAsia="Times New Roman" w:hAnsiTheme="minorHAnsi" w:cs="Times New Roman"/>
                <w:color w:val="auto"/>
                <w:sz w:val="24"/>
                <w:szCs w:val="24"/>
              </w:rPr>
            </w:pPr>
            <w:r w:rsidRPr="0049727A">
              <w:rPr>
                <w:rFonts w:asciiTheme="minorHAnsi" w:eastAsia="Times New Roman" w:hAnsiTheme="minorHAnsi" w:cs="Times New Roman"/>
                <w:color w:val="auto"/>
                <w:sz w:val="24"/>
                <w:szCs w:val="24"/>
              </w:rPr>
              <w:t>Desaturación leve + respuesta fuerte</w:t>
            </w:r>
          </w:p>
        </w:tc>
      </w:tr>
      <w:tr w:rsidR="002D0686" w:rsidRPr="0049727A" w14:paraId="2887F49B" w14:textId="77777777" w:rsidTr="009818E7">
        <w:trPr>
          <w:tblCellSpacing w:w="15" w:type="dxa"/>
        </w:trPr>
        <w:tc>
          <w:tcPr>
            <w:tcW w:w="0" w:type="auto"/>
            <w:vAlign w:val="center"/>
            <w:hideMark/>
          </w:tcPr>
          <w:p w14:paraId="0F950BFD" w14:textId="77777777" w:rsidR="002D0686" w:rsidRPr="0049727A" w:rsidRDefault="002D0686" w:rsidP="0049727A">
            <w:pPr>
              <w:spacing w:after="0"/>
              <w:jc w:val="both"/>
              <w:rPr>
                <w:rFonts w:asciiTheme="minorHAnsi" w:eastAsia="Times New Roman" w:hAnsiTheme="minorHAnsi" w:cs="Times New Roman"/>
                <w:color w:val="auto"/>
                <w:sz w:val="24"/>
                <w:szCs w:val="24"/>
              </w:rPr>
            </w:pPr>
            <w:r w:rsidRPr="0049727A">
              <w:rPr>
                <w:rFonts w:asciiTheme="minorHAnsi" w:eastAsia="Times New Roman" w:hAnsiTheme="minorHAnsi" w:cs="Times New Roman"/>
                <w:b/>
                <w:bCs/>
                <w:color w:val="auto"/>
                <w:sz w:val="24"/>
                <w:szCs w:val="24"/>
              </w:rPr>
              <w:t>ARI bajo</w:t>
            </w:r>
          </w:p>
        </w:tc>
        <w:tc>
          <w:tcPr>
            <w:tcW w:w="0" w:type="auto"/>
            <w:vAlign w:val="center"/>
            <w:hideMark/>
          </w:tcPr>
          <w:p w14:paraId="63F99797" w14:textId="77777777" w:rsidR="002D0686" w:rsidRPr="0049727A" w:rsidRDefault="002D0686" w:rsidP="0049727A">
            <w:pPr>
              <w:spacing w:after="0"/>
              <w:jc w:val="both"/>
              <w:rPr>
                <w:rFonts w:asciiTheme="minorHAnsi" w:eastAsia="Times New Roman" w:hAnsiTheme="minorHAnsi" w:cs="Times New Roman"/>
                <w:color w:val="auto"/>
                <w:sz w:val="24"/>
                <w:szCs w:val="24"/>
              </w:rPr>
            </w:pPr>
            <w:r w:rsidRPr="0049727A">
              <w:rPr>
                <w:rFonts w:asciiTheme="minorHAnsi" w:eastAsia="Times New Roman" w:hAnsiTheme="minorHAnsi" w:cs="Times New Roman"/>
                <w:color w:val="auto"/>
                <w:sz w:val="24"/>
                <w:szCs w:val="24"/>
              </w:rPr>
              <w:t>Desaturación profunda + respuesta autonómica débil</w:t>
            </w:r>
          </w:p>
        </w:tc>
        <w:tc>
          <w:tcPr>
            <w:tcW w:w="0" w:type="auto"/>
            <w:vAlign w:val="center"/>
            <w:hideMark/>
          </w:tcPr>
          <w:p w14:paraId="79395BE9" w14:textId="77777777" w:rsidR="002D0686" w:rsidRPr="0049727A" w:rsidRDefault="002D0686" w:rsidP="0049727A">
            <w:pPr>
              <w:spacing w:after="0"/>
              <w:jc w:val="both"/>
              <w:rPr>
                <w:rFonts w:asciiTheme="minorHAnsi" w:eastAsia="Times New Roman" w:hAnsiTheme="minorHAnsi" w:cs="Times New Roman"/>
                <w:color w:val="auto"/>
                <w:sz w:val="24"/>
                <w:szCs w:val="24"/>
              </w:rPr>
            </w:pPr>
            <w:r w:rsidRPr="0049727A">
              <w:rPr>
                <w:rFonts w:asciiTheme="minorHAnsi" w:eastAsia="Times New Roman" w:hAnsiTheme="minorHAnsi" w:cs="Times New Roman"/>
                <w:color w:val="auto"/>
                <w:sz w:val="24"/>
                <w:szCs w:val="24"/>
              </w:rPr>
              <w:t>Desaturación leve + respuesta débil</w:t>
            </w:r>
          </w:p>
        </w:tc>
      </w:tr>
    </w:tbl>
    <w:p w14:paraId="02BF94A3" w14:textId="77777777" w:rsidR="002D0686" w:rsidRPr="0049727A" w:rsidRDefault="002D0686" w:rsidP="0049727A">
      <w:pPr>
        <w:spacing w:before="100" w:beforeAutospacing="1" w:after="100" w:afterAutospacing="1"/>
        <w:jc w:val="both"/>
        <w:rPr>
          <w:rFonts w:asciiTheme="minorHAnsi" w:eastAsia="Times New Roman" w:hAnsiTheme="minorHAnsi" w:cs="Times New Roman"/>
          <w:color w:val="auto"/>
          <w:sz w:val="24"/>
          <w:szCs w:val="24"/>
        </w:rPr>
      </w:pPr>
      <w:r w:rsidRPr="0049727A">
        <w:rPr>
          <w:rFonts w:asciiTheme="minorHAnsi" w:eastAsia="Times New Roman" w:hAnsiTheme="minorHAnsi" w:cs="Times New Roman"/>
          <w:color w:val="auto"/>
          <w:sz w:val="24"/>
          <w:szCs w:val="24"/>
        </w:rPr>
        <w:t>El caso clínicamente interesante es el de la fila inferior izquierda: pacientes que tienen eventos objetivamente graves en la curva de SpO₂ pero cuyo sistema autonómico responde poco. Son los que AHI y ODI3 clasificarían como graves, pero ARI revelaría como "amortiguados". Si esos pacientes tienen peor pronóstico cardiovascular — hipótesis razonable — los índices clásicos no lo verían y ARI sí.</w:t>
      </w:r>
    </w:p>
    <w:p w14:paraId="0AB5D8C8" w14:textId="77777777" w:rsidR="002D0686" w:rsidRPr="0049727A" w:rsidRDefault="002D0686" w:rsidP="0049727A">
      <w:pPr>
        <w:spacing w:before="100" w:beforeAutospacing="1" w:after="100" w:afterAutospacing="1"/>
        <w:jc w:val="both"/>
        <w:rPr>
          <w:rFonts w:asciiTheme="minorHAnsi" w:eastAsia="Times New Roman" w:hAnsiTheme="minorHAnsi" w:cs="Times New Roman"/>
          <w:color w:val="auto"/>
          <w:sz w:val="24"/>
          <w:szCs w:val="24"/>
        </w:rPr>
      </w:pPr>
      <w:r w:rsidRPr="0049727A">
        <w:rPr>
          <w:rFonts w:asciiTheme="minorHAnsi" w:eastAsia="Times New Roman" w:hAnsiTheme="minorHAnsi" w:cs="Times New Roman"/>
          <w:color w:val="auto"/>
          <w:sz w:val="24"/>
          <w:szCs w:val="24"/>
        </w:rPr>
        <w:t>La ortogonalidad no es un problema del índice, es exactamente lo que lo hace útil. Si ARI y morfotipo dijeran lo mismo, ARI sería redundante.</w:t>
      </w:r>
    </w:p>
    <w:p w14:paraId="4AF3F45A" w14:textId="77777777" w:rsidR="00A57B17" w:rsidRPr="0049727A" w:rsidRDefault="00A57B17" w:rsidP="0049727A">
      <w:pPr>
        <w:spacing w:before="100" w:beforeAutospacing="1" w:after="100" w:afterAutospacing="1"/>
        <w:jc w:val="both"/>
        <w:rPr>
          <w:rFonts w:asciiTheme="minorHAnsi" w:eastAsia="Times New Roman" w:hAnsiTheme="minorHAnsi" w:cs="Times New Roman"/>
          <w:color w:val="auto"/>
          <w:sz w:val="24"/>
          <w:szCs w:val="24"/>
        </w:rPr>
      </w:pPr>
    </w:p>
    <w:p w14:paraId="2D1DABFB" w14:textId="77777777" w:rsidR="00A57B17" w:rsidRPr="00A57B17" w:rsidRDefault="00A57B17" w:rsidP="00A57B17">
      <w:pPr>
        <w:spacing w:after="120"/>
        <w:ind w:left="400"/>
        <w:jc w:val="both"/>
        <w:rPr>
          <w:rFonts w:asciiTheme="minorHAnsi" w:hAnsiTheme="minorHAnsi"/>
        </w:rPr>
      </w:pPr>
    </w:p>
    <w:sectPr w:rsidR="00A57B17" w:rsidRPr="00A57B17">
      <w:footerReference w:type="even" r:id="rId7"/>
      <w:footerReference w:type="default" r:id="rId8"/>
      <w:pgSz w:w="11906" w:h="16838"/>
      <w:pgMar w:top="1440" w:right="1440"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C3D35" w14:textId="77777777" w:rsidR="00D43A48" w:rsidRDefault="00D43A48" w:rsidP="00A57B17">
      <w:pPr>
        <w:spacing w:after="0"/>
      </w:pPr>
      <w:r>
        <w:separator/>
      </w:r>
    </w:p>
  </w:endnote>
  <w:endnote w:type="continuationSeparator" w:id="0">
    <w:p w14:paraId="3BB901FA" w14:textId="77777777" w:rsidR="00D43A48" w:rsidRDefault="00D43A48" w:rsidP="00A57B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71198780"/>
      <w:docPartObj>
        <w:docPartGallery w:val="Page Numbers (Bottom of Page)"/>
        <w:docPartUnique/>
      </w:docPartObj>
    </w:sdtPr>
    <w:sdtContent>
      <w:p w14:paraId="184D690C" w14:textId="77777777" w:rsidR="00A57B17" w:rsidRDefault="00A57B17" w:rsidP="00FB6EC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6CC3A894" w14:textId="77777777" w:rsidR="00A57B17" w:rsidRDefault="00A57B17" w:rsidP="00A57B1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24194233"/>
      <w:docPartObj>
        <w:docPartGallery w:val="Page Numbers (Bottom of Page)"/>
        <w:docPartUnique/>
      </w:docPartObj>
    </w:sdtPr>
    <w:sdtContent>
      <w:p w14:paraId="5F8DA56E" w14:textId="77777777" w:rsidR="00A57B17" w:rsidRDefault="00A57B17" w:rsidP="00FB6EC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58104DEB" w14:textId="77777777" w:rsidR="00A57B17" w:rsidRDefault="00A57B17" w:rsidP="00A57B1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01AF2" w14:textId="77777777" w:rsidR="00D43A48" w:rsidRDefault="00D43A48" w:rsidP="00A57B17">
      <w:pPr>
        <w:spacing w:after="0"/>
      </w:pPr>
      <w:r>
        <w:separator/>
      </w:r>
    </w:p>
  </w:footnote>
  <w:footnote w:type="continuationSeparator" w:id="0">
    <w:p w14:paraId="095E671B" w14:textId="77777777" w:rsidR="00D43A48" w:rsidRDefault="00D43A48" w:rsidP="00A57B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451"/>
    <w:multiLevelType w:val="hybridMultilevel"/>
    <w:tmpl w:val="85767600"/>
    <w:lvl w:ilvl="0" w:tplc="570008BE">
      <w:start w:val="1"/>
      <w:numFmt w:val="bullet"/>
      <w:lvlText w:val="●"/>
      <w:lvlJc w:val="left"/>
      <w:pPr>
        <w:ind w:left="720" w:hanging="360"/>
      </w:pPr>
    </w:lvl>
    <w:lvl w:ilvl="1" w:tplc="CA000F5E">
      <w:start w:val="1"/>
      <w:numFmt w:val="bullet"/>
      <w:lvlText w:val="○"/>
      <w:lvlJc w:val="left"/>
      <w:pPr>
        <w:ind w:left="1440" w:hanging="360"/>
      </w:pPr>
    </w:lvl>
    <w:lvl w:ilvl="2" w:tplc="0BD8A478">
      <w:start w:val="1"/>
      <w:numFmt w:val="bullet"/>
      <w:lvlText w:val="■"/>
      <w:lvlJc w:val="left"/>
      <w:pPr>
        <w:ind w:left="2160" w:hanging="360"/>
      </w:pPr>
    </w:lvl>
    <w:lvl w:ilvl="3" w:tplc="18223112">
      <w:start w:val="1"/>
      <w:numFmt w:val="bullet"/>
      <w:lvlText w:val="●"/>
      <w:lvlJc w:val="left"/>
      <w:pPr>
        <w:ind w:left="2880" w:hanging="360"/>
      </w:pPr>
    </w:lvl>
    <w:lvl w:ilvl="4" w:tplc="C51AECA4">
      <w:start w:val="1"/>
      <w:numFmt w:val="bullet"/>
      <w:lvlText w:val="○"/>
      <w:lvlJc w:val="left"/>
      <w:pPr>
        <w:ind w:left="3600" w:hanging="360"/>
      </w:pPr>
    </w:lvl>
    <w:lvl w:ilvl="5" w:tplc="F3164C5C">
      <w:start w:val="1"/>
      <w:numFmt w:val="bullet"/>
      <w:lvlText w:val="■"/>
      <w:lvlJc w:val="left"/>
      <w:pPr>
        <w:ind w:left="4320" w:hanging="360"/>
      </w:pPr>
    </w:lvl>
    <w:lvl w:ilvl="6" w:tplc="C762B35A">
      <w:start w:val="1"/>
      <w:numFmt w:val="bullet"/>
      <w:lvlText w:val="●"/>
      <w:lvlJc w:val="left"/>
      <w:pPr>
        <w:ind w:left="5040" w:hanging="360"/>
      </w:pPr>
    </w:lvl>
    <w:lvl w:ilvl="7" w:tplc="3B266AB8">
      <w:start w:val="1"/>
      <w:numFmt w:val="bullet"/>
      <w:lvlText w:val="●"/>
      <w:lvlJc w:val="left"/>
      <w:pPr>
        <w:ind w:left="5760" w:hanging="360"/>
      </w:pPr>
    </w:lvl>
    <w:lvl w:ilvl="8" w:tplc="B37AE63E">
      <w:start w:val="1"/>
      <w:numFmt w:val="bullet"/>
      <w:lvlText w:val="●"/>
      <w:lvlJc w:val="left"/>
      <w:pPr>
        <w:ind w:left="6480" w:hanging="360"/>
      </w:pPr>
    </w:lvl>
  </w:abstractNum>
  <w:abstractNum w:abstractNumId="1" w15:restartNumberingAfterBreak="0">
    <w:nsid w:val="01DB57CB"/>
    <w:multiLevelType w:val="multilevel"/>
    <w:tmpl w:val="8D88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A305D"/>
    <w:multiLevelType w:val="hybridMultilevel"/>
    <w:tmpl w:val="1A8E01AE"/>
    <w:lvl w:ilvl="0" w:tplc="D8E0B32C">
      <w:start w:val="1"/>
      <w:numFmt w:val="bullet"/>
      <w:lvlText w:val="•"/>
      <w:lvlJc w:val="left"/>
      <w:pPr>
        <w:ind w:left="520" w:hanging="260"/>
      </w:pPr>
    </w:lvl>
    <w:lvl w:ilvl="1" w:tplc="214E044E">
      <w:start w:val="1"/>
      <w:numFmt w:val="bullet"/>
      <w:lvlText w:val="◦"/>
      <w:lvlJc w:val="left"/>
      <w:pPr>
        <w:ind w:left="900" w:hanging="260"/>
      </w:pPr>
    </w:lvl>
    <w:lvl w:ilvl="2" w:tplc="72768386">
      <w:numFmt w:val="decimal"/>
      <w:lvlText w:val=""/>
      <w:lvlJc w:val="left"/>
    </w:lvl>
    <w:lvl w:ilvl="3" w:tplc="2E1C5EBA">
      <w:numFmt w:val="decimal"/>
      <w:lvlText w:val=""/>
      <w:lvlJc w:val="left"/>
    </w:lvl>
    <w:lvl w:ilvl="4" w:tplc="66EA892C">
      <w:numFmt w:val="decimal"/>
      <w:lvlText w:val=""/>
      <w:lvlJc w:val="left"/>
    </w:lvl>
    <w:lvl w:ilvl="5" w:tplc="EDCC6A7C">
      <w:numFmt w:val="decimal"/>
      <w:lvlText w:val=""/>
      <w:lvlJc w:val="left"/>
    </w:lvl>
    <w:lvl w:ilvl="6" w:tplc="8FC020CE">
      <w:numFmt w:val="decimal"/>
      <w:lvlText w:val=""/>
      <w:lvlJc w:val="left"/>
    </w:lvl>
    <w:lvl w:ilvl="7" w:tplc="F85EC0D4">
      <w:numFmt w:val="decimal"/>
      <w:lvlText w:val=""/>
      <w:lvlJc w:val="left"/>
    </w:lvl>
    <w:lvl w:ilvl="8" w:tplc="3EA80E4A">
      <w:numFmt w:val="decimal"/>
      <w:lvlText w:val=""/>
      <w:lvlJc w:val="left"/>
    </w:lvl>
  </w:abstractNum>
  <w:abstractNum w:abstractNumId="3" w15:restartNumberingAfterBreak="0">
    <w:nsid w:val="1DC13F16"/>
    <w:multiLevelType w:val="hybridMultilevel"/>
    <w:tmpl w:val="ED54380C"/>
    <w:lvl w:ilvl="0" w:tplc="A46AEDA0">
      <w:start w:val="1"/>
      <w:numFmt w:val="decimal"/>
      <w:lvlText w:val="%1."/>
      <w:lvlJc w:val="left"/>
      <w:pPr>
        <w:ind w:left="520" w:hanging="260"/>
      </w:pPr>
    </w:lvl>
    <w:lvl w:ilvl="1" w:tplc="D9564F3C">
      <w:numFmt w:val="decimal"/>
      <w:lvlText w:val=""/>
      <w:lvlJc w:val="left"/>
    </w:lvl>
    <w:lvl w:ilvl="2" w:tplc="0B422C5A">
      <w:numFmt w:val="decimal"/>
      <w:lvlText w:val=""/>
      <w:lvlJc w:val="left"/>
    </w:lvl>
    <w:lvl w:ilvl="3" w:tplc="06CAF480">
      <w:numFmt w:val="decimal"/>
      <w:lvlText w:val=""/>
      <w:lvlJc w:val="left"/>
    </w:lvl>
    <w:lvl w:ilvl="4" w:tplc="7EBEC772">
      <w:numFmt w:val="decimal"/>
      <w:lvlText w:val=""/>
      <w:lvlJc w:val="left"/>
    </w:lvl>
    <w:lvl w:ilvl="5" w:tplc="0A5CE9F4">
      <w:numFmt w:val="decimal"/>
      <w:lvlText w:val=""/>
      <w:lvlJc w:val="left"/>
    </w:lvl>
    <w:lvl w:ilvl="6" w:tplc="CF76717E">
      <w:numFmt w:val="decimal"/>
      <w:lvlText w:val=""/>
      <w:lvlJc w:val="left"/>
    </w:lvl>
    <w:lvl w:ilvl="7" w:tplc="7AC66D94">
      <w:numFmt w:val="decimal"/>
      <w:lvlText w:val=""/>
      <w:lvlJc w:val="left"/>
    </w:lvl>
    <w:lvl w:ilvl="8" w:tplc="3FFAB044">
      <w:numFmt w:val="decimal"/>
      <w:lvlText w:val=""/>
      <w:lvlJc w:val="left"/>
    </w:lvl>
  </w:abstractNum>
  <w:num w:numId="1" w16cid:durableId="344749046">
    <w:abstractNumId w:val="0"/>
    <w:lvlOverride w:ilvl="0">
      <w:startOverride w:val="1"/>
    </w:lvlOverride>
  </w:num>
  <w:num w:numId="2" w16cid:durableId="385295342">
    <w:abstractNumId w:val="2"/>
    <w:lvlOverride w:ilvl="0">
      <w:startOverride w:val="1"/>
    </w:lvlOverride>
  </w:num>
  <w:num w:numId="3" w16cid:durableId="1887796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85D"/>
    <w:rsid w:val="000F19E1"/>
    <w:rsid w:val="002D0686"/>
    <w:rsid w:val="0049727A"/>
    <w:rsid w:val="004A44E5"/>
    <w:rsid w:val="00715779"/>
    <w:rsid w:val="0087185D"/>
    <w:rsid w:val="009818E7"/>
    <w:rsid w:val="00A57B17"/>
    <w:rsid w:val="00CA2B4E"/>
    <w:rsid w:val="00D43A4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831D"/>
  <w15:docId w15:val="{BB071105-05A3-8841-BBEB-83150B87F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pPr>
    <w:rPr>
      <w:rFonts w:ascii="Calibri" w:eastAsia="Calibri" w:hAnsi="Calibri" w:cs="Calibri"/>
      <w:color w:val="000000"/>
      <w:sz w:val="22"/>
      <w:szCs w:val="22"/>
    </w:rPr>
  </w:style>
  <w:style w:type="paragraph" w:styleId="Ttulo1">
    <w:name w:val="heading 1"/>
    <w:basedOn w:val="Normal"/>
    <w:next w:val="Normal"/>
    <w:uiPriority w:val="9"/>
    <w:qFormat/>
    <w:pPr>
      <w:pBdr>
        <w:bottom w:val="single" w:sz="6" w:space="4" w:color="2E75B6"/>
      </w:pBdr>
      <w:spacing w:before="360" w:after="160"/>
      <w:outlineLvl w:val="0"/>
    </w:pPr>
    <w:rPr>
      <w:b/>
      <w:bCs/>
      <w:color w:val="1F3864"/>
      <w:sz w:val="28"/>
      <w:szCs w:val="28"/>
    </w:rPr>
  </w:style>
  <w:style w:type="paragraph" w:styleId="Ttulo2">
    <w:name w:val="heading 2"/>
    <w:basedOn w:val="Normal"/>
    <w:next w:val="Normal"/>
    <w:uiPriority w:val="9"/>
    <w:unhideWhenUsed/>
    <w:qFormat/>
    <w:pPr>
      <w:spacing w:before="240" w:after="120"/>
      <w:outlineLvl w:val="1"/>
    </w:pPr>
    <w:rPr>
      <w:b/>
      <w:bCs/>
      <w:color w:val="2E75B6"/>
      <w:sz w:val="24"/>
      <w:szCs w:val="24"/>
    </w:rPr>
  </w:style>
  <w:style w:type="paragraph" w:styleId="Ttulo3">
    <w:name w:val="heading 3"/>
    <w:basedOn w:val="Normal"/>
    <w:next w:val="Normal"/>
    <w:uiPriority w:val="9"/>
    <w:unhideWhenUsed/>
    <w:qFormat/>
    <w:pPr>
      <w:spacing w:before="160" w:after="80"/>
      <w:outlineLvl w:val="2"/>
    </w:pPr>
    <w:rPr>
      <w:b/>
      <w:bCs/>
      <w:color w:val="44546A"/>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Piedepgina">
    <w:name w:val="footer"/>
    <w:basedOn w:val="Normal"/>
    <w:link w:val="PiedepginaCar"/>
    <w:uiPriority w:val="99"/>
    <w:unhideWhenUsed/>
    <w:rsid w:val="00A57B17"/>
    <w:pPr>
      <w:tabs>
        <w:tab w:val="center" w:pos="4419"/>
        <w:tab w:val="right" w:pos="8838"/>
      </w:tabs>
      <w:spacing w:after="0"/>
    </w:pPr>
  </w:style>
  <w:style w:type="character" w:customStyle="1" w:styleId="PiedepginaCar">
    <w:name w:val="Pie de página Car"/>
    <w:basedOn w:val="Fuentedeprrafopredeter"/>
    <w:link w:val="Piedepgina"/>
    <w:uiPriority w:val="99"/>
    <w:rsid w:val="00A57B17"/>
    <w:rPr>
      <w:rFonts w:ascii="Calibri" w:eastAsia="Calibri" w:hAnsi="Calibri" w:cs="Calibri"/>
      <w:color w:val="000000"/>
      <w:sz w:val="22"/>
      <w:szCs w:val="22"/>
    </w:rPr>
  </w:style>
  <w:style w:type="character" w:styleId="Nmerodepgina">
    <w:name w:val="page number"/>
    <w:basedOn w:val="Fuentedeprrafopredeter"/>
    <w:uiPriority w:val="99"/>
    <w:semiHidden/>
    <w:unhideWhenUsed/>
    <w:rsid w:val="00A57B17"/>
  </w:style>
  <w:style w:type="paragraph" w:styleId="NormalWeb">
    <w:name w:val="Normal (Web)"/>
    <w:basedOn w:val="Normal"/>
    <w:uiPriority w:val="99"/>
    <w:unhideWhenUsed/>
    <w:rsid w:val="00A57B17"/>
    <w:pPr>
      <w:spacing w:before="100" w:beforeAutospacing="1" w:after="100" w:afterAutospacing="1"/>
    </w:pPr>
    <w:rPr>
      <w:rFonts w:ascii="Times New Roman" w:eastAsia="Times New Roman" w:hAnsi="Times New Roman" w:cs="Times New Roman"/>
      <w:color w:val="auto"/>
      <w:sz w:val="24"/>
      <w:szCs w:val="24"/>
    </w:rPr>
  </w:style>
  <w:style w:type="character" w:styleId="Fuerte">
    <w:name w:val="Strong"/>
    <w:basedOn w:val="Fuentedeprrafopredeter"/>
    <w:uiPriority w:val="22"/>
    <w:qFormat/>
    <w:rsid w:val="00A57B17"/>
    <w:rPr>
      <w:b/>
      <w:bCs/>
    </w:rPr>
  </w:style>
  <w:style w:type="character" w:styleId="nfasis">
    <w:name w:val="Emphasis"/>
    <w:basedOn w:val="Fuentedeprrafopredeter"/>
    <w:uiPriority w:val="20"/>
    <w:qFormat/>
    <w:rsid w:val="00A57B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5008</Words>
  <Characters>27845</Characters>
  <Application>Microsoft Office Word</Application>
  <DocSecurity>0</DocSecurity>
  <Lines>870</Lines>
  <Paragraphs>556</Paragraphs>
  <ScaleCrop>false</ScaleCrop>
  <Company/>
  <LinksUpToDate>false</LinksUpToDate>
  <CharactersWithSpaces>32297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5</cp:revision>
  <dcterms:created xsi:type="dcterms:W3CDTF">2026-05-15T16:22:00Z</dcterms:created>
  <dcterms:modified xsi:type="dcterms:W3CDTF">2026-05-17T20:39:00Z</dcterms:modified>
</cp:coreProperties>
</file>