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16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Los estados patológicos S6, M1 y L0 presentan los RR más elevados (4,9×, 3,3× y 2,0× respectivamente). La magnitud del RR decrece con la escala temporal. P(severo) marginal = 5,73 %.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(33,6 %): gradiente de carga hipóxica / respuesta autonómica; PC2 (23,6 %): gradiente de dinamismo. El fenotipo Carga Hipóxica Alta se localiza en el extremo negativo de PC1 con baja variabilidad. n = 513 noches, 12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25,6 (Normal) / 31,6 (Leve) / 72,2 (Moderado) / 80,8 (Severo). El 100 % de las Severas superan el umbral 60; el 74,3 % de las Moderadas; el 11,7 %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