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Anexo_B_Glosario_actualizacion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Sección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Acción</w:t>
            </w:r>
          </w:p>
        </w:tc>
        <w:tc>
          <w:tcPr>
            <w:tcW w:type="dxa" w:w="1728"/>
          </w:tcPr>
          <w:p>
            <w:r>
              <w:t>Texto</w:t>
            </w:r>
          </w:p>
        </w:tc>
        <w:tc>
          <w:tcPr>
            <w:tcW w:type="dxa" w:w="1728"/>
          </w:tcPr>
          <w:p>
            <w:r>
              <w:t>Motivo</w:t>
            </w:r>
          </w:p>
        </w:tc>
      </w:tr>
      <w:tr>
        <w:tc>
          <w:tcPr>
            <w:tcW w:type="dxa" w:w="1728"/>
          </w:tcPr>
          <w:p>
            <w:r>
              <w:t>Orden alfabético (C)</w:t>
            </w:r>
          </w:p>
        </w:tc>
        <w:tc>
          <w:tcPr>
            <w:tcW w:type="dxa" w:w="1728"/>
          </w:tcPr>
          <w:p>
            <w:r>
              <w:t>Nueva entrada</w:t>
            </w:r>
          </w:p>
        </w:tc>
        <w:tc>
          <w:tcPr>
            <w:tcW w:type="dxa" w:w="1728"/>
          </w:tcPr>
          <w:p>
            <w:r>
              <w:t>Agregar</w:t>
            </w:r>
          </w:p>
        </w:tc>
        <w:tc>
          <w:tcPr>
            <w:tcW w:type="dxa" w:w="1728"/>
          </w:tcPr>
          <w:p>
            <w:r>
              <w:t>Carga Hipóxica Alta (CHA)</w:t>
              <w:br/>
              <w:t>Véase CHA.</w:t>
            </w:r>
          </w:p>
        </w:tc>
        <w:tc>
          <w:tcPr>
            <w:tcW w:type="dxa" w:w="1728"/>
          </w:tcPr>
          <w:p>
            <w:r>
              <w:t>Referencia cruzada conceptual</w:t>
            </w:r>
          </w:p>
        </w:tc>
      </w:tr>
      <w:tr>
        <w:tc>
          <w:tcPr>
            <w:tcW w:type="dxa" w:w="1728"/>
          </w:tcPr>
          <w:p>
            <w:r>
              <w:t>Orden alfabético (C)</w:t>
            </w:r>
          </w:p>
        </w:tc>
        <w:tc>
          <w:tcPr>
            <w:tcW w:type="dxa" w:w="1728"/>
          </w:tcPr>
          <w:p>
            <w:r>
              <w:t>Nueva entrada</w:t>
            </w:r>
          </w:p>
        </w:tc>
        <w:tc>
          <w:tcPr>
            <w:tcW w:type="dxa" w:w="1728"/>
          </w:tcPr>
          <w:p>
            <w:r>
              <w:t>Agregar</w:t>
            </w:r>
          </w:p>
        </w:tc>
        <w:tc>
          <w:tcPr>
            <w:tcW w:type="dxa" w:w="1728"/>
          </w:tcPr>
          <w:p>
            <w:r>
              <w:t>CHA (Carga Hipóxica Alta)</w:t>
              <w:br/>
              <w:t>Fenotipo dinámico nocturno identificado mediante clustering K=3 sobre features PAC. Se caracteriza por alta dominancia de M1 (~78 % de la noche), baja entropía, pocas transiciones y elevada proporción de eventos severos (~38 %). Aunque representa aproximadamente el 1 % de las noches del corpus, puede aparecer en pacientes clasificados como Moderados por ODI3, evidenciando discordancia entre severidad convencional y fenotipo dinámico.</w:t>
            </w:r>
          </w:p>
        </w:tc>
        <w:tc>
          <w:tcPr>
            <w:tcW w:type="dxa" w:w="1728"/>
          </w:tcPr>
          <w:p>
            <w:r>
              <w:t>Nueva sigla utilizada en Capítulo 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