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B404" w14:textId="77777777" w:rsidR="00812477" w:rsidRDefault="00000000">
      <w:pPr>
        <w:spacing w:after="80"/>
        <w:jc w:val="center"/>
      </w:pPr>
      <w:r>
        <w:rPr>
          <w:b/>
          <w:bCs/>
          <w:sz w:val="32"/>
          <w:szCs w:val="32"/>
        </w:rPr>
        <w:t>ANEXO B</w:t>
      </w:r>
    </w:p>
    <w:p w14:paraId="68E2B233" w14:textId="77777777" w:rsidR="00812477" w:rsidRDefault="00000000">
      <w:pPr>
        <w:spacing w:after="80"/>
        <w:jc w:val="center"/>
      </w:pPr>
      <w:r>
        <w:rPr>
          <w:b/>
          <w:bCs/>
          <w:sz w:val="32"/>
          <w:szCs w:val="32"/>
        </w:rPr>
        <w:t>Glosario de Términos PAC</w:t>
      </w:r>
    </w:p>
    <w:p w14:paraId="5BDB49EF" w14:textId="77777777" w:rsidR="00812477" w:rsidRDefault="00000000">
      <w:pPr>
        <w:spacing w:after="400"/>
        <w:jc w:val="center"/>
      </w:pPr>
      <w:r>
        <w:rPr>
          <w:i/>
          <w:iCs/>
          <w:color w:val="666666"/>
        </w:rPr>
        <w:t>Versión 9  ·  Junio 2026</w:t>
      </w:r>
    </w:p>
    <w:p w14:paraId="06B035E3"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0FF3B2" w14:textId="77777777" w:rsidR="00812477" w:rsidRDefault="00000000">
      <w:pPr>
        <w:spacing w:before="180" w:after="60"/>
      </w:pPr>
      <w:r>
        <w:rPr>
          <w:b/>
          <w:bCs/>
        </w:rPr>
        <w:t>AASM (American Academy of Sleep Medicine)</w:t>
      </w:r>
    </w:p>
    <w:p w14:paraId="4C04D046"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6FB6FABF" w14:textId="77777777" w:rsidR="00812477" w:rsidRDefault="00000000">
      <w:pPr>
        <w:spacing w:before="180" w:after="60"/>
      </w:pPr>
      <w:r>
        <w:rPr>
          <w:b/>
          <w:bCs/>
        </w:rPr>
        <w:t>Activación autonómica</w:t>
      </w:r>
    </w:p>
    <w:p w14:paraId="59BE721D"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7A2C9E9E" w14:textId="77777777" w:rsidR="00812477" w:rsidRDefault="00000000">
      <w:pPr>
        <w:spacing w:before="180" w:after="60"/>
      </w:pPr>
      <w:r>
        <w:rPr>
          <w:b/>
          <w:bCs/>
        </w:rPr>
        <w:t>Agrupamiento de trayectorias nocturnas</w:t>
      </w:r>
    </w:p>
    <w:p w14:paraId="1CCE1CAB"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513). El fenotipo CHA puede aparecer en pacientes con categoría AASM Moderada, evidenciando discordancia entre índice de frecuencia y fenotipo dinámico.</w:t>
      </w:r>
    </w:p>
    <w:p w14:paraId="2A2E9CF8" w14:textId="77777777" w:rsidR="00812477" w:rsidRDefault="00000000">
      <w:pPr>
        <w:spacing w:before="180" w:after="60"/>
      </w:pPr>
      <w:r>
        <w:rPr>
          <w:b/>
          <w:bCs/>
        </w:rPr>
        <w:t>AHI (Apnea-Hypopnea Index — Índice de Apneas-Hipopneas)</w:t>
      </w:r>
    </w:p>
    <w:p w14:paraId="5948AF8F"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5483D624" w14:textId="77777777" w:rsidR="00812477" w:rsidRDefault="00000000">
      <w:pPr>
        <w:spacing w:before="180" w:after="60"/>
      </w:pPr>
      <w:r>
        <w:rPr>
          <w:b/>
          <w:bCs/>
        </w:rPr>
        <w:t>Análisis de acoplamiento temporal</w:t>
      </w:r>
    </w:p>
    <w:p w14:paraId="60BB1112" w14:textId="77777777" w:rsidR="00812477" w:rsidRDefault="00000000">
      <w:pPr>
        <w:spacing w:after="160" w:line="360" w:lineRule="auto"/>
        <w:jc w:val="both"/>
      </w:pPr>
      <w:r>
        <w:lastRenderedPageBreak/>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038AD242" w14:textId="77777777" w:rsidR="00812477" w:rsidRDefault="00000000">
      <w:pPr>
        <w:spacing w:before="180" w:after="60"/>
      </w:pPr>
      <w:r>
        <w:rPr>
          <w:b/>
          <w:bCs/>
        </w:rPr>
        <w:t>Análisis multiescala</w:t>
      </w:r>
    </w:p>
    <w:p w14:paraId="7FB0E4F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04D0ABC" w14:textId="77777777" w:rsidR="00812477" w:rsidRDefault="00000000">
      <w:pPr>
        <w:spacing w:before="180" w:after="60"/>
      </w:pPr>
      <w:r>
        <w:rPr>
          <w:b/>
          <w:bCs/>
        </w:rPr>
        <w:t>ANMAT (Administración Nacional de Medicamentos, Alimentos y Tecnología Médica)</w:t>
      </w:r>
    </w:p>
    <w:p w14:paraId="66A1A5E3"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6265DC44" w14:textId="77777777" w:rsidR="00812477" w:rsidRDefault="00000000">
      <w:pPr>
        <w:spacing w:before="180" w:after="60"/>
      </w:pPr>
      <w:r>
        <w:rPr>
          <w:b/>
          <w:bCs/>
        </w:rPr>
        <w:t>ARI (Índice de Reactividad Autonómica)</w:t>
      </w:r>
    </w:p>
    <w:p w14:paraId="78BFFEA2"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78987633" w14:textId="77777777" w:rsidR="00812477" w:rsidRDefault="00000000">
      <w:pPr>
        <w:spacing w:before="180" w:after="60"/>
      </w:pPr>
      <w:r>
        <w:rPr>
          <w:b/>
          <w:bCs/>
        </w:rPr>
        <w:t>Arquitectura Medallion</w:t>
      </w:r>
    </w:p>
    <w:p w14:paraId="0BFB6B35"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474C7A4A" w14:textId="77777777" w:rsidR="00812477" w:rsidRDefault="00000000">
      <w:pPr>
        <w:spacing w:before="180" w:after="60"/>
      </w:pPr>
      <w:r>
        <w:rPr>
          <w:b/>
          <w:bCs/>
        </w:rPr>
        <w:t>Baseline local (línea de base local)</w:t>
      </w:r>
    </w:p>
    <w:p w14:paraId="5BFC3EE6" w14:textId="77777777" w:rsidR="00812477" w:rsidRDefault="00000000">
      <w:pPr>
        <w:spacing w:after="160" w:line="360" w:lineRule="auto"/>
        <w:jc w:val="both"/>
      </w:pPr>
      <w:r>
        <w:lastRenderedPageBreak/>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705EB79" w14:textId="77777777" w:rsidR="00812477" w:rsidRDefault="00000000">
      <w:pPr>
        <w:spacing w:before="180" w:after="60"/>
      </w:pPr>
      <w:r>
        <w:rPr>
          <w:b/>
          <w:bCs/>
        </w:rPr>
        <w:t>Cadenas de Markov discretas (PAC States)</w:t>
      </w:r>
    </w:p>
    <w:p w14:paraId="39276CB4"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88216E0" w14:textId="77777777" w:rsidR="00812477" w:rsidRDefault="00000000">
      <w:pPr>
        <w:spacing w:before="180" w:after="60"/>
      </w:pPr>
      <w:r>
        <w:rPr>
          <w:b/>
          <w:bCs/>
        </w:rPr>
        <w:t>Capas del pipeline PAC_v3 (Bronze / Silver / Events / Gold)</w:t>
      </w:r>
    </w:p>
    <w:p w14:paraId="71B44EE9"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2D44420C" w14:textId="77777777" w:rsidR="00812477" w:rsidRDefault="00000000">
      <w:pPr>
        <w:spacing w:before="180" w:after="60"/>
      </w:pPr>
      <w:r>
        <w:rPr>
          <w:b/>
          <w:bCs/>
        </w:rPr>
        <w:t>Carga hipóxica (Hypoxic burden)</w:t>
      </w:r>
    </w:p>
    <w:p w14:paraId="2EA69483"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479C2A60" w14:textId="77777777" w:rsidR="00812477" w:rsidRDefault="00000000">
      <w:pPr>
        <w:spacing w:before="180" w:after="60"/>
      </w:pPr>
      <w:r>
        <w:rPr>
          <w:b/>
          <w:bCs/>
        </w:rPr>
        <w:t>Corredor de vulnerabilidad</w:t>
      </w:r>
    </w:p>
    <w:p w14:paraId="4D1274F9" w14:textId="77777777" w:rsidR="00812477" w:rsidRDefault="00000000">
      <w:pPr>
        <w:spacing w:after="160" w:line="360" w:lineRule="auto"/>
        <w:jc w:val="both"/>
      </w:pPr>
      <w:r>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581E54F7" w14:textId="77777777" w:rsidR="00812477" w:rsidRDefault="00000000">
      <w:pPr>
        <w:spacing w:before="180" w:after="60"/>
      </w:pPr>
      <w:r>
        <w:rPr>
          <w:b/>
          <w:bCs/>
        </w:rPr>
        <w:lastRenderedPageBreak/>
        <w:t>EDO (Evento de Desaturación de Oxígeno)</w:t>
      </w:r>
    </w:p>
    <w:p w14:paraId="1EAE5FC6"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229CF2D1" w14:textId="77777777" w:rsidR="00812477" w:rsidRDefault="00000000">
      <w:pPr>
        <w:spacing w:before="180" w:after="60"/>
      </w:pPr>
      <w:r>
        <w:rPr>
          <w:b/>
          <w:bCs/>
        </w:rPr>
        <w:t>Escala L — Arquitectura global (30 min)</w:t>
      </w:r>
    </w:p>
    <w:p w14:paraId="7A1C0521"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1FFDAE96" w14:textId="77777777" w:rsidR="00812477" w:rsidRDefault="00000000">
      <w:pPr>
        <w:spacing w:before="180" w:after="60"/>
      </w:pPr>
      <w:r>
        <w:rPr>
          <w:b/>
          <w:bCs/>
        </w:rPr>
        <w:t>Escala M — Regulación intermedia (5 min)</w:t>
      </w:r>
    </w:p>
    <w:p w14:paraId="621F8409"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6E193B69" w14:textId="77777777" w:rsidR="00812477" w:rsidRDefault="00000000">
      <w:pPr>
        <w:spacing w:before="180" w:after="60"/>
      </w:pPr>
      <w:r>
        <w:rPr>
          <w:b/>
          <w:bCs/>
        </w:rPr>
        <w:t>Escala S — Microdinámica (30 s)</w:t>
      </w:r>
    </w:p>
    <w:p w14:paraId="59092BCC"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4FE2064D" w14:textId="77777777" w:rsidR="00812477" w:rsidRDefault="00000000">
      <w:pPr>
        <w:spacing w:before="180" w:after="60"/>
      </w:pPr>
      <w:r>
        <w:rPr>
          <w:b/>
          <w:bCs/>
        </w:rPr>
        <w:t>Estados PAC (PAC States)</w:t>
      </w:r>
    </w:p>
    <w:p w14:paraId="2D18A5F8"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describe arquitectura global—, propiedad </w:t>
        <w:lastRenderedPageBreak/>
        <w:t>que no fue impuesta por diseño sino que surgió del clustering sobre los datos. V de Cramér S/M/L: 0,356 / 0,231 / 0,196.</w:t>
      </w:r>
    </w:p>
    <w:p w14:paraId="25A3E773" w14:textId="77777777" w:rsidR="00812477" w:rsidRDefault="00000000">
      <w:pPr>
        <w:spacing w:before="180" w:after="60"/>
      </w:pPr>
      <w:r>
        <w:rPr>
          <w:b/>
          <w:bCs/>
        </w:rPr>
        <w:t>Estadios de sueño operativos</w:t>
      </w:r>
    </w:p>
    <w:p w14:paraId="1BF2DDC7"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4F32DB35" w14:textId="77777777" w:rsidR="00812477" w:rsidRDefault="00000000">
      <w:pPr>
        <w:spacing w:before="180" w:after="60"/>
      </w:pPr>
      <w:r>
        <w:rPr>
          <w:b/>
          <w:bCs/>
        </w:rPr>
        <w:t>Gradiente autonómico inverso</w:t>
      </w:r>
    </w:p>
    <w:p w14:paraId="6D1057C5"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27040067" w14:textId="77777777" w:rsidR="00812477" w:rsidRDefault="00000000">
      <w:pPr>
        <w:spacing w:before="180" w:after="60"/>
      </w:pPr>
      <w:r>
        <w:rPr>
          <w:b/>
          <w:bCs/>
        </w:rPr>
        <w:t>Horizonte temporal (H) — NB08</w:t>
      </w:r>
    </w:p>
    <w:p w14:paraId="5F902F2E"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96EE7A8" w14:textId="77777777" w:rsidR="00812477" w:rsidRDefault="00000000">
      <w:pPr>
        <w:spacing w:before="180" w:after="60"/>
      </w:pPr>
      <w:r>
        <w:rPr>
          <w:b/>
          <w:bCs/>
        </w:rPr>
        <w:t>IEI (Intervalo Inter-Evento)</w:t>
      </w:r>
    </w:p>
    <w:p w14:paraId="6EB9D9BE"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6AE33353" w14:textId="77777777" w:rsidR="00812477" w:rsidRDefault="00000000">
      <w:pPr>
        <w:spacing w:before="180" w:after="60"/>
      </w:pPr>
      <w:r>
        <w:rPr>
          <w:b/>
          <w:bCs/>
        </w:rPr>
        <w:t>LOPO-CV (Leave-One-Patient-Out Cross-Validation)</w:t>
      </w:r>
    </w:p>
    <w:p w14:paraId="2934E72C" w14:textId="77777777" w:rsidR="00812477" w:rsidRDefault="00000000">
      <w:pPr>
        <w:spacing w:after="160" w:line="360" w:lineRule="auto"/>
        <w:jc w:val="both"/>
      </w:pPr>
      <w:r>
        <w:t xml:space="preserve">Esquema de validación cruzada donde cada fold excluye todas las noches de un paciente del entrenamiento. Previene la fuga de información entre noches del mismo paciente. El n </w:t>
        <w:lastRenderedPageBreak/>
        <w:t>efectivo es el número de pacientes (8 en la cohorte estricta del Proyecto PAC), no el de noches (540). Estándar de validación de todos los modelos supervisados del Proyecto PAC.</w:t>
      </w:r>
    </w:p>
    <w:p w14:paraId="6D954BBD" w14:textId="77777777" w:rsidR="00812477" w:rsidRDefault="00000000">
      <w:pPr>
        <w:spacing w:before="180" w:after="60"/>
      </w:pPr>
      <w:r>
        <w:rPr>
          <w:b/>
          <w:bCs/>
        </w:rPr>
        <w:t>Morfotipos C1–C5</w:t>
      </w:r>
    </w:p>
    <w:p w14:paraId="138779D0"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4F58E678" w14:textId="77777777" w:rsidR="00812477" w:rsidRDefault="00000000">
      <w:pPr>
        <w:spacing w:before="180" w:after="60"/>
      </w:pPr>
      <w:r>
        <w:rPr>
          <w:b/>
          <w:bCs/>
        </w:rPr>
        <w:t>NightRecordID</w:t>
      </w:r>
    </w:p>
    <w:p w14:paraId="208E757E"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143E2BD5" w14:textId="77777777" w:rsidR="00812477" w:rsidRDefault="00000000">
      <w:pPr>
        <w:spacing w:before="180" w:after="60"/>
      </w:pPr>
      <w:r>
        <w:rPr>
          <w:b/>
          <w:bCs/>
        </w:rPr>
        <w:t>NB06 / NB07 / NB08 — Módulos analíticos del Proyecto PAC</w:t>
      </w:r>
    </w:p>
    <w:p w14:paraId="302441AD"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79F865A2" w14:textId="77777777" w:rsidR="00812477" w:rsidRDefault="00000000">
      <w:pPr>
        <w:spacing w:before="180" w:after="60"/>
      </w:pPr>
      <w:r>
        <w:rPr>
          <w:b/>
          <w:bCs/>
        </w:rPr>
        <w:t>ODI3 (Oxygen Desaturation Index, umbral 3 %)</w:t>
      </w:r>
    </w:p>
    <w:p w14:paraId="495FE53F"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7EEA8337" w14:textId="77777777" w:rsidR="00812477" w:rsidRDefault="00000000">
      <w:pPr>
        <w:spacing w:before="180" w:after="60"/>
      </w:pPr>
      <w:r>
        <w:rPr>
          <w:b/>
          <w:bCs/>
        </w:rPr>
        <w:t>PAC_v3 — Pipeline del Proyecto PAC</w:t>
      </w:r>
    </w:p>
    <w:p w14:paraId="05B8D350" w14:textId="77777777" w:rsidR="00812477" w:rsidRDefault="00000000">
      <w:pPr>
        <w:spacing w:after="160" w:line="360" w:lineRule="auto"/>
        <w:jc w:val="both"/>
      </w:pPr>
      <w:r>
        <w:t>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S/M/L) y generación de features nocturnas multiescala. Corresponde al reanálisis con la cohorte estricta final (NB04).</w:t>
      </w:r>
    </w:p>
    <w:p w14:paraId="1E8F60FB" w14:textId="77777777" w:rsidR="00812477" w:rsidRDefault="00000000">
      <w:pPr>
        <w:spacing w:before="180" w:after="60"/>
      </w:pPr>
      <w:r>
        <w:rPr>
          <w:b/>
          <w:bCs/>
        </w:rPr>
        <w:t>Paradoja de Pac314</w:t>
      </w:r>
    </w:p>
    <w:p w14:paraId="7D884A82"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709F4872" w14:textId="77777777" w:rsidR="00812477" w:rsidRDefault="00000000">
      <w:pPr>
        <w:spacing w:before="180" w:after="60"/>
      </w:pPr>
      <w:r>
        <w:rPr>
          <w:b/>
          <w:bCs/>
        </w:rPr>
        <w:t>Predicción prospectiva (módulo NB08)</w:t>
      </w:r>
    </w:p>
    <w:p w14:paraId="29AB3AE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29002CCD" w14:textId="77777777" w:rsidR="00812477" w:rsidRDefault="00000000">
      <w:pPr>
        <w:spacing w:before="180" w:after="60"/>
      </w:pPr>
      <w:r>
        <w:rPr>
          <w:b/>
          <w:bCs/>
        </w:rPr>
        <w:t>Proyecto PAC (Proyecto de Procesamiento Autonómico Continuo)</w:t>
      </w:r>
    </w:p>
    <w:p w14:paraId="06C38FB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176E0248" w14:textId="77777777" w:rsidR="00812477" w:rsidRDefault="00000000">
      <w:pPr>
        <w:spacing w:before="180" w:after="60"/>
      </w:pPr>
      <w:r>
        <w:rPr>
          <w:b/>
          <w:bCs/>
        </w:rPr>
        <w:t>PSG (Polisomnografía)</w:t>
      </w:r>
    </w:p>
    <w:p w14:paraId="725A359B"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093B78E1" w14:textId="6E5E58F9" w:rsidR="008F4E03" w:rsidRDefault="008F4E03" w:rsidP="008F4E03">
      <w:pPr>
        <w:spacing w:before="180" w:after="60" w:line="360" w:lineRule="auto"/>
        <w:jc w:val="both"/>
        <w:rPr>
          <w:b/>
          <w:bCs/>
        </w:rPr>
      </w:pPr>
      <w:r>
        <w:rPr>
          <w:rStyle w:val="Fuerte"/>
        </w:rPr>
        <w:t>Ramp-up</w:t>
      </w:r>
      <w:r>
        <w:t>: período de latencia entre la activación del estímulo eléctrico y la producción del efecto fisiológico; estimado en ~90 s para la estimulación transcutánea (Clifton et al., 2015).</w:t>
      </w:r>
    </w:p>
    <w:p w14:paraId="09C77705" w14:textId="421A6257" w:rsidR="00812477" w:rsidRDefault="00000000">
      <w:pPr>
        <w:spacing w:before="180" w:after="60"/>
      </w:pPr>
      <w:r>
        <w:rPr>
          <w:b/>
          <w:bCs/>
        </w:rPr>
        <w:t>Resiliencia fisiológica post-evento severo</w:t>
      </w:r>
    </w:p>
    <w:p w14:paraId="442DAA19" w14:textId="77777777" w:rsidR="00812477" w:rsidRDefault="00000000">
      <w:pPr>
        <w:spacing w:after="160" w:line="360" w:lineRule="auto"/>
        <w:jc w:val="both"/>
      </w:pPr>
      <w:r>
        <w:lastRenderedPageBreak/>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6E34C29" w14:textId="77777777" w:rsidR="00812477" w:rsidRDefault="00000000">
      <w:pPr>
        <w:spacing w:before="180" w:after="60"/>
      </w:pPr>
      <w:r>
        <w:rPr>
          <w:b/>
          <w:bCs/>
        </w:rPr>
        <w:t>Risk Score PAC (0–100)</w:t>
      </w:r>
    </w:p>
    <w:p w14:paraId="78ED9AE1"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4E5BAFB6" w14:textId="77777777" w:rsidR="00812477" w:rsidRDefault="00000000">
      <w:pPr>
        <w:spacing w:before="180" w:after="60"/>
      </w:pPr>
      <w:r>
        <w:rPr>
          <w:b/>
          <w:bCs/>
        </w:rPr>
        <w:t>SAOS (Síndrome de Apneas Obstructivas del Sueño)</w:t>
      </w:r>
    </w:p>
    <w:p w14:paraId="2E70AA44"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3340C1AE" w14:textId="77777777" w:rsidR="00812477" w:rsidRDefault="00000000">
      <w:pPr>
        <w:spacing w:before="180" w:after="60"/>
      </w:pPr>
      <w:r>
        <w:rPr>
          <w:b/>
          <w:bCs/>
        </w:rPr>
        <w:t>SOMNI 6000</w:t>
      </w:r>
    </w:p>
    <w:p w14:paraId="5652F4EB" w14:textId="77777777" w:rsidR="00812477" w:rsidRDefault="00000000">
      <w:pPr>
        <w:spacing w:after="160" w:line="360" w:lineRule="auto"/>
        <w:jc w:val="both"/>
      </w:pPr>
      <w:r>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478ACADD" w14:textId="77777777" w:rsidR="00812477" w:rsidRDefault="00000000">
      <w:pPr>
        <w:spacing w:before="180" w:after="60"/>
      </w:pPr>
      <w:r>
        <w:rPr>
          <w:b/>
          <w:bCs/>
        </w:rPr>
        <w:t>SpO₂ (Saturación periférica de oxígeno)</w:t>
      </w:r>
    </w:p>
    <w:p w14:paraId="329564EA" w14:textId="77777777" w:rsidR="00812477" w:rsidRDefault="00000000">
      <w:pPr>
        <w:spacing w:after="160" w:line="360" w:lineRule="auto"/>
        <w:jc w:val="both"/>
      </w:pPr>
      <w:r>
        <w:t xml:space="preserve">Fracción de hemoglobina oxigenada en sangre periférica, medida por pulsioximetría. Señal primaria del Proyecto PAC, registrada a 1 Hz. Rango normal en vigilia: 95–100 %. Valores </w:t>
        <w:lastRenderedPageBreak/>
        <w:t>&lt; 90 % durante el sueño se contabilizan en el T90. La curva completa de SpO₂ durante un EDO —normalizada a 30 puntos— es la unidad de análisis del fenotipado morfológico C1–C5.</w:t>
      </w:r>
    </w:p>
    <w:p w14:paraId="284D3CAD" w14:textId="77777777" w:rsidR="00812477" w:rsidRDefault="00000000">
      <w:pPr>
        <w:spacing w:before="180" w:after="60"/>
      </w:pPr>
      <w:r>
        <w:rPr>
          <w:b/>
          <w:bCs/>
        </w:rPr>
        <w:t>T90</w:t>
      </w:r>
    </w:p>
    <w:p w14:paraId="361D8041"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24CE1B6D" w14:textId="77777777" w:rsidR="00812477" w:rsidRDefault="00000000">
      <w:pPr>
        <w:spacing w:before="180" w:after="60"/>
      </w:pPr>
      <w:r>
        <w:rPr>
          <w:b/>
          <w:bCs/>
        </w:rPr>
        <w:t>Trayectoria nocturna</w:t>
      </w:r>
    </w:p>
    <w:p w14:paraId="11FEE7F6"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7B158727" w14:textId="77777777" w:rsidR="00812477" w:rsidRDefault="00000000">
      <w:pPr>
        <w:spacing w:before="180" w:after="60"/>
      </w:pPr>
      <w:r>
        <w:rPr>
          <w:b/>
          <w:bCs/>
        </w:rPr>
        <w:t>Trazabilidad del pipeline</w:t>
      </w:r>
    </w:p>
    <w:p w14:paraId="03EEEB9E"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7FD1B707" w14:textId="77777777" w:rsidR="00812477" w:rsidRDefault="00000000">
      <w:pPr>
        <w:spacing w:before="180" w:after="60"/>
      </w:pPr>
      <w:r>
        <w:rPr>
          <w:b/>
          <w:bCs/>
        </w:rPr>
        <w:t>V de Cramér</w:t>
      </w:r>
    </w:p>
    <w:p w14:paraId="2B67954F" w14:textId="77777777" w:rsidR="00812477" w:rsidRDefault="00000000">
      <w:pPr>
        <w:spacing w:after="160" w:line="360" w:lineRule="auto"/>
        <w:jc w:val="both"/>
      </w:pPr>
      <w:r>
        <w:t>Medida de asociación entre dos variables categóricas, normalizada entre 0 (independencia) y 1 (asociación perfecta), derivada del estadístico Chi-cuadrado. Usada en el Proyecto PAC para cuantificar el acoplamiento morfotipo–estado: S = 0,355 / M = 0,229 / L = 0,194 sobre 83.892 eventos (NB05). Los valores decrecientes con la escala temporal indican que la escala S es más informativa sobre la morfología instantánea del evento.</w:t>
      </w:r>
    </w:p>
    <w:p w14:paraId="3FD7C4A7" w14:textId="77777777" w:rsidR="00812477" w:rsidRDefault="00000000">
      <w:pPr>
        <w:spacing w:before="180" w:after="60"/>
      </w:pPr>
      <w:r>
        <w:rPr>
          <w:b/>
          <w:bCs/>
        </w:rPr>
        <w:t>Variabilidad noche a noche</w:t>
      </w:r>
    </w:p>
    <w:p w14:paraId="53A0030C" w14:textId="77777777" w:rsidR="00812477" w:rsidRDefault="00000000">
      <w:pPr>
        <w:spacing w:after="160" w:line="360" w:lineRule="auto"/>
        <w:jc w:val="both"/>
      </w:pPr>
      <w:r>
        <w:t xml:space="preserve">Diferencias en el perfil fisiológico de un mismo paciente entre noches distintas, debidas a factores situacionales (postura, alcohol, fatiga, medicación). En la literatura clásica se trata como ruido estadístico. El Proyecto PAC adopta la perspectiva opuesta: es información </w:t>
        <w:lastRenderedPageBreak/>
        <w:t>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812477"/>
    <w:rsid w:val="00833978"/>
    <w:rsid w:val="008F4E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155DB"/>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3152</Words>
  <Characters>17058</Characters>
  <Application>Microsoft Office Word</Application>
  <DocSecurity>0</DocSecurity>
  <Lines>279</Lines>
  <Paragraphs>107</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2026-06-02T19:58:00Z</dcterms:created>
  <dcterms:modified xsi:type="dcterms:W3CDTF">2026-06-06T15:39:00Z</dcterms:modified>
</cp:coreProperties>
</file>