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0B59" w14:textId="77777777" w:rsidR="00812477" w:rsidRDefault="00000000">
      <w:pPr>
        <w:spacing w:after="80"/>
        <w:jc w:val="center"/>
      </w:pPr>
      <w:r>
        <w:t>ANEXO B</w:t>
      </w:r>
    </w:p>
    <w:p w14:paraId="048B0FB5" w14:textId="77777777" w:rsidR="00812477" w:rsidRDefault="00000000">
      <w:pPr>
        <w:spacing w:after="80"/>
        <w:jc w:val="center"/>
      </w:pPr>
      <w:r>
        <w:t>Glosario de Términos PAC</w:t>
      </w:r>
    </w:p>
    <w:p w14:paraId="65E632F9" w14:textId="77777777" w:rsidR="00812477" w:rsidRDefault="00000000">
      <w:pPr>
        <w:spacing w:after="400"/>
        <w:jc w:val="center"/>
      </w:pPr>
      <w:r>
        <w:t>Versión 9  ·  Junio 2026</w:t>
      </w:r>
    </w:p>
    <w:p w14:paraId="4B3E5858" w14:textId="77777777" w:rsidR="00812477" w:rsidRDefault="00000000">
      <w:pPr>
        <w:spacing w:after="200"/>
        <w:jc w:val="both"/>
      </w:pPr>
      <w: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CFF24C" w14:textId="77777777" w:rsidR="00812477" w:rsidRDefault="00000000">
      <w:pPr>
        <w:spacing w:before="180" w:after="60"/>
      </w:pPr>
      <w:r>
        <w:t>AASM (American Academy of Sleep Medicine)</w:t>
      </w:r>
    </w:p>
    <w:p w14:paraId="118F2EA5"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3CFD2C09" w14:textId="77777777" w:rsidR="00812477" w:rsidRDefault="00000000">
      <w:pPr>
        <w:spacing w:before="180" w:after="60"/>
      </w:pPr>
      <w:r>
        <w:t>Activación autonómica</w:t>
      </w:r>
    </w:p>
    <w:p w14:paraId="578F22AB"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2931EC50" w14:textId="77777777" w:rsidR="00812477" w:rsidRDefault="00000000">
      <w:pPr>
        <w:spacing w:before="180" w:after="60"/>
      </w:pPr>
      <w:r>
        <w:t>Agrupamiento de trayectorias nocturnas</w:t>
      </w:r>
    </w:p>
    <w:p w14:paraId="7B438C01" w14:textId="77777777" w:rsidR="00812477" w:rsidRDefault="00000000">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695F057C" w14:textId="77777777" w:rsidR="00812477" w:rsidRDefault="00000000">
      <w:pPr>
        <w:spacing w:before="180" w:after="60"/>
      </w:pPr>
      <w:r>
        <w:t>AHI (Apnea-Hypopnea Index — Índice de Apneas-Hipopneas)</w:t>
      </w:r>
    </w:p>
    <w:p w14:paraId="7D62614D"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423BBF75" w14:textId="77777777" w:rsidR="00812477" w:rsidRDefault="00000000">
      <w:pPr>
        <w:spacing w:before="180" w:after="60"/>
      </w:pPr>
      <w:r>
        <w:t>Análisis de acoplamiento temporal</w:t>
      </w:r>
    </w:p>
    <w:p w14:paraId="092CC858" w14:textId="77777777" w:rsidR="00812477" w:rsidRDefault="00000000">
      <w:pPr>
        <w:spacing w:after="160" w:line="360" w:lineRule="auto"/>
        <w:jc w:val="both"/>
      </w:pPr>
      <w:r>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160E8D78" w14:textId="77777777" w:rsidR="00812477" w:rsidRDefault="00000000">
      <w:pPr>
        <w:spacing w:before="180" w:after="60"/>
      </w:pPr>
      <w:r>
        <w:t>Análisis multiescala</w:t>
      </w:r>
    </w:p>
    <w:p w14:paraId="4756029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9AE5E6E" w14:textId="77777777" w:rsidR="00812477" w:rsidRDefault="00000000">
      <w:pPr>
        <w:spacing w:before="180" w:after="60"/>
      </w:pPr>
      <w:r>
        <w:t>ANMAT (Administración Nacional de Medicamentos, Alimentos y Tecnología Médica)</w:t>
      </w:r>
    </w:p>
    <w:p w14:paraId="41697A4D"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0685BBBC" w14:textId="77777777" w:rsidR="00812477" w:rsidRDefault="00000000">
      <w:pPr>
        <w:spacing w:before="180" w:after="60"/>
      </w:pPr>
      <w:r>
        <w:t>ARI (Índice de Reactividad Autonómica)</w:t>
      </w:r>
    </w:p>
    <w:p w14:paraId="537FD404" w14:textId="77777777" w:rsidR="00812477" w:rsidRDefault="00000000">
      <w:pPr>
        <w:spacing w:after="160" w:line="360" w:lineRule="auto"/>
        <w:jc w:val="both"/>
      </w:pPr>
      <w:r>
        <w:t>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ρ(ARI, ODI3) = 0,034 (prácticamente ortogonal); ICC(1,1) = 0,69 (cohorte completa) / 0,74 (cohorte estricta); estable desde la primera noche de registro. El gradiente autonómico inverso —C5 presenta el ARI más bajo del corpus (0,423 ± 0,104)— sugiere atenuación autonómica ante hipoxia crónica severa.</w:t>
      </w:r>
    </w:p>
    <w:p w14:paraId="69F58A8C" w14:textId="77777777" w:rsidR="00812477" w:rsidRDefault="00000000">
      <w:pPr>
        <w:spacing w:before="180" w:after="60"/>
      </w:pPr>
      <w:r>
        <w:t>Arquitectura Medallion</w:t>
      </w:r>
    </w:p>
    <w:p w14:paraId="0BD108AF"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6D46E3A9" w14:textId="77777777" w:rsidR="00812477" w:rsidRDefault="00000000">
      <w:pPr>
        <w:spacing w:before="180" w:after="60"/>
      </w:pPr>
      <w:r>
        <w:t>Baseline local (línea de base local)</w:t>
      </w:r>
    </w:p>
    <w:p w14:paraId="5398AC2D" w14:textId="77777777" w:rsidR="00812477" w:rsidRDefault="00000000">
      <w:pPr>
        <w:spacing w:after="160" w:line="360" w:lineRule="auto"/>
        <w:jc w:val="both"/>
      </w:pPr>
      <w:r>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231215D6" w14:textId="77777777" w:rsidR="00812477" w:rsidRDefault="00000000">
      <w:pPr>
        <w:spacing w:before="180" w:after="60"/>
      </w:pPr>
      <w:r>
        <w:t>Cadenas de Markov discretas (Estados PAC)</w:t>
      </w:r>
    </w:p>
    <w:p w14:paraId="07DC8445"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Estados PAC en cada escala: 462.519 transiciones en escala S, 45.900 en M y 7.196 en L. El corredor de vulnerabilidad M3→M1 es la ruta preferencial de deterioro fisiológico a escala intermedia; M0 es el atractor principal del sistema.</w:t>
      </w:r>
    </w:p>
    <w:p w14:paraId="31CAF028" w14:textId="77777777" w:rsidR="00812477" w:rsidRDefault="00000000">
      <w:pPr>
        <w:spacing w:before="180" w:after="60"/>
      </w:pPr>
      <w:r>
        <w:t>Capas del pipeline PAC_v3 (Bronze / Silver / Events / Gold)</w:t>
      </w:r>
    </w:p>
    <w:p w14:paraId="516C04FF"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38089C01" w14:textId="77777777" w:rsidR="00812477" w:rsidRDefault="00000000">
      <w:pPr>
        <w:spacing w:before="180" w:after="60"/>
      </w:pPr>
      <w:r>
        <w:t>Carga hipóxica (Hypoxic burden)</w:t>
      </w:r>
    </w:p>
    <w:p w14:paraId="3D55A562"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19B68455" w14:textId="77777777" w:rsidR="00812477" w:rsidRDefault="00000000">
      <w:pPr>
        <w:spacing w:before="180" w:after="60"/>
      </w:pPr>
      <w:r>
        <w:t>Corredor de vulnerabilidad</w:t>
      </w:r>
    </w:p>
    <w:p w14:paraId="09FF81A8" w14:textId="77777777" w:rsidR="00812477" w:rsidRDefault="00000000">
      <w:pPr>
        <w:spacing w:after="160" w:line="360" w:lineRule="auto"/>
        <w:jc w:val="both"/>
      </w:pPr>
      <w:r>
        <w:t>Par de estados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2A1DB62A" w14:textId="77777777" w:rsidR="00F6400B" w:rsidRDefault="00000000">
      <w:r>
        <w:t>Evento de Desaturación de Oxígeno (EDO)</w:t>
      </w:r>
    </w:p>
    <w:p w14:paraId="50E24292" w14:textId="77777777" w:rsidR="00F6400B" w:rsidRDefault="00000000">
      <w:r>
        <w:t>Véase EDO.</w:t>
      </w:r>
    </w:p>
    <w:p w14:paraId="1320C8AA" w14:textId="77777777" w:rsidR="00812477" w:rsidRDefault="00000000">
      <w:pPr>
        <w:spacing w:before="180" w:after="60"/>
      </w:pPr>
      <w:r>
        <w:t>EDO (Evento de Desaturación de Oxígeno)</w:t>
      </w:r>
    </w:p>
    <w:p w14:paraId="6BBECB44"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1188E1AC" w14:textId="77777777" w:rsidR="00812477" w:rsidRDefault="00000000">
      <w:pPr>
        <w:spacing w:before="180" w:after="60"/>
      </w:pPr>
      <w:r>
        <w:t>Escala L — Arquitectura global (30 min)</w:t>
      </w:r>
    </w:p>
    <w:p w14:paraId="4B464199" w14:textId="77777777" w:rsidR="00812477" w:rsidRDefault="00000000">
      <w:pPr>
        <w:spacing w:after="160" w:line="360" w:lineRule="auto"/>
        <w:jc w:val="both"/>
      </w:pPr>
      <w:r>
        <w:t>Escala temporal más gruesa de los Estados PAC.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614F7AAC" w14:textId="77777777" w:rsidR="00812477" w:rsidRDefault="00000000">
      <w:pPr>
        <w:spacing w:before="180" w:after="60"/>
      </w:pPr>
      <w:r>
        <w:t>Escala M — Regulación intermedia (5 min)</w:t>
      </w:r>
    </w:p>
    <w:p w14:paraId="41220E7F" w14:textId="77777777" w:rsidR="00812477" w:rsidRDefault="00000000">
      <w:pPr>
        <w:spacing w:after="160" w:line="360" w:lineRule="auto"/>
        <w:jc w:val="both"/>
      </w:pPr>
      <w:r>
        <w:t>Escala temporal media de los Estados PAC.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5292FB32" w14:textId="77777777" w:rsidR="00812477" w:rsidRDefault="00000000">
      <w:pPr>
        <w:spacing w:before="180" w:after="60"/>
      </w:pPr>
      <w:r>
        <w:t>Escala S — Microdinámica (30 s)</w:t>
      </w:r>
    </w:p>
    <w:p w14:paraId="6BBB9DEE" w14:textId="77777777" w:rsidR="00812477" w:rsidRDefault="00000000">
      <w:pPr>
        <w:spacing w:after="160" w:line="360" w:lineRule="auto"/>
        <w:jc w:val="both"/>
      </w:pPr>
      <w:r>
        <w:t>Escala temporal más fina de los Estados PAC.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17A69B77" w14:textId="77777777" w:rsidR="00812477" w:rsidRDefault="00000000">
      <w:pPr>
        <w:spacing w:before="180" w:after="60"/>
      </w:pPr>
      <w:r>
        <w:t>Estados PAC (Estados PAC)</w:t>
      </w:r>
    </w:p>
    <w:p w14:paraId="6DA6DC33" w14:textId="77777777" w:rsidR="00812477" w:rsidRDefault="00000000">
      <w:pPr>
        <w:spacing w:after="160" w:line="360" w:lineRule="auto"/>
        <w:jc w:val="both"/>
      </w:pPr>
      <w:r>
        <w:t>Sistema de estados fisiológicos dinámicos a tres escalas temporales (S = 30 s, M = 5 min, L = 30 min), resultado central del análisis de nivel noche del Proyecto PAC (NB04). Cada estado captura una configuración recurrente del espacio de 24 features multiescala. Hallazgo central: especialización funcional emergente —S4 predice frecuencia, M1 predice carga hipóxica, S5 predice reactividad autonómica, L0 describe arquitectura global—, propiedad que no fue impuesta por diseño sino que surgió del clustering sobre los datos. V de Cramér S/M/L: 0,356 / 0,231 / 0,196.</w:t>
      </w:r>
    </w:p>
    <w:p w14:paraId="355A84AB" w14:textId="77777777" w:rsidR="00812477" w:rsidRDefault="00000000">
      <w:pPr>
        <w:spacing w:before="180" w:after="60"/>
      </w:pPr>
      <w:r>
        <w:t>Estadios de sueño operativos</w:t>
      </w:r>
    </w:p>
    <w:p w14:paraId="6CA05C6D"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Estados PAC.</w:t>
      </w:r>
    </w:p>
    <w:p w14:paraId="5F06A64D" w14:textId="77777777" w:rsidR="00812477" w:rsidRDefault="00000000">
      <w:pPr>
        <w:spacing w:before="180" w:after="60"/>
      </w:pPr>
      <w:r>
        <w:t>Gradiente autonómico inverso</w:t>
      </w:r>
    </w:p>
    <w:p w14:paraId="1D26B69C"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713841F4" w14:textId="77777777" w:rsidR="00812477" w:rsidRDefault="00000000">
      <w:pPr>
        <w:spacing w:before="180" w:after="60"/>
      </w:pPr>
      <w:r>
        <w:t>Horizonte temporal (H) — NB08</w:t>
      </w:r>
    </w:p>
    <w:p w14:paraId="16473231"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445D41B7" w14:textId="77777777" w:rsidR="00812477" w:rsidRDefault="00000000">
      <w:pPr>
        <w:spacing w:before="180" w:after="60"/>
      </w:pPr>
      <w:r>
        <w:t>IEI (Intervalo Inter-Evento)</w:t>
      </w:r>
    </w:p>
    <w:p w14:paraId="48AEE0FF"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77FA7678" w14:textId="77777777" w:rsidR="00F6400B" w:rsidRDefault="00000000">
      <w:r>
        <w:t>Leave-One-Patient-Out Cross-Validation (LOPO-CV)</w:t>
      </w:r>
    </w:p>
    <w:p w14:paraId="5E9FBFA5" w14:textId="77777777" w:rsidR="00F6400B" w:rsidRDefault="00000000">
      <w:r>
        <w:t>Véase LOPO-CV.</w:t>
      </w:r>
    </w:p>
    <w:p w14:paraId="318805EB" w14:textId="77777777" w:rsidR="00812477" w:rsidRDefault="00000000">
      <w:pPr>
        <w:spacing w:before="180" w:after="60"/>
      </w:pPr>
      <w:r>
        <w:t>LOPO-CV (Leave-One-Patient-Out Cross-Validation)</w:t>
      </w:r>
    </w:p>
    <w:p w14:paraId="4A57CE34" w14:textId="77777777" w:rsidR="00812477" w:rsidRDefault="00000000">
      <w:pPr>
        <w:spacing w:after="160" w:line="360" w:lineRule="auto"/>
        <w:jc w:val="both"/>
      </w:pPr>
      <w:r>
        <w:t>Esquema de validación cruzada donde cada fold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258E85D2" w14:textId="77777777" w:rsidR="00812477" w:rsidRDefault="00000000">
      <w:pPr>
        <w:spacing w:before="180" w:after="60"/>
      </w:pPr>
      <w:r>
        <w:t>Morfotipos C1–C5</w:t>
      </w:r>
    </w:p>
    <w:p w14:paraId="67B09677" w14:textId="77777777" w:rsidR="00812477" w:rsidRDefault="00000000">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7C893083" w14:textId="77777777" w:rsidR="00812477" w:rsidRDefault="00000000">
      <w:pPr>
        <w:spacing w:before="180" w:after="60"/>
      </w:pPr>
      <w:r>
        <w:t>NightRecordID</w:t>
      </w:r>
    </w:p>
    <w:p w14:paraId="36171743"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2EE440FA" w14:textId="77777777" w:rsidR="00812477" w:rsidRDefault="00000000">
      <w:pPr>
        <w:spacing w:before="180" w:after="60"/>
      </w:pPr>
      <w:r>
        <w:t>NB06 / NB07 / NB08 — Módulos analíticos del Proyecto PAC</w:t>
      </w:r>
    </w:p>
    <w:p w14:paraId="059D9648" w14:textId="77777777" w:rsidR="00812477" w:rsidRDefault="00000000">
      <w:pPr>
        <w:spacing w:after="160" w:line="360" w:lineRule="auto"/>
        <w:jc w:val="both"/>
      </w:pPr>
      <w:r>
        <w:t>NB06: estudio de ablación por bloques de features (Random Forest, LOPO-CV, 540 noches). Estados PAC = 44,8 % de la importancia Gini total. NB07: predicción de evento severo C4/C5 (LightGBM, AUC = 0,878) y clasificación de riesgo nocturno binario (LR, AUC = 0,905). NB08: predicción prospectiva sobre 452.955 ventanas de 30 s × 4 horizontes; H = 5 min óptimo (AUC = 0,821 ± 0,022).</w:t>
      </w:r>
    </w:p>
    <w:p>
      <w:r>
        <w:t>ODI</w:t>
      </w:r>
    </w:p>
    <w:p>
      <w:r>
        <w:t>Véase ODI3.</w:t>
      </w:r>
    </w:p>
    <w:p>
      <w:r>
        <w:t>Índice de Desaturación de Oxígeno (ODI)</w:t>
      </w:r>
    </w:p>
    <w:p>
      <w:r>
        <w:t>Véase ODI3.</w:t>
      </w:r>
    </w:p>
    <w:p w14:paraId="099B0B5F" w14:textId="77777777" w:rsidR="00812477" w:rsidRDefault="00000000">
      <w:pPr>
        <w:spacing w:before="180" w:after="60"/>
      </w:pPr>
      <w:r>
        <w:t>ODI3 (Oxygen Desaturation Index, umbral 3 %)</w:t>
      </w:r>
    </w:p>
    <w:p w14:paraId="1C0FEC5E"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29EB961C" w14:textId="77777777" w:rsidR="00812477" w:rsidRDefault="00000000">
      <w:pPr>
        <w:spacing w:before="180" w:after="60"/>
      </w:pPr>
      <w:r>
        <w:t>PAC_v3 — Pipeline del Proyecto PAC</w:t>
      </w:r>
    </w:p>
    <w:p w14:paraId="4DEA8058" w14:textId="77777777" w:rsidR="00812477" w:rsidRDefault="00000000">
      <w:pPr>
        <w:spacing w:after="160" w:line="360" w:lineRule="auto"/>
        <w:jc w:val="both"/>
      </w:pPr>
      <w:r>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Estados PAC (escalas S/M/L) y generación de features nocturnas multiescala. Corresponde al reanálisis con la cohorte estricta final (NB04).</w:t>
      </w:r>
    </w:p>
    <w:p w14:paraId="384A9772" w14:textId="77777777" w:rsidR="00812477" w:rsidRDefault="00000000">
      <w:pPr>
        <w:spacing w:before="180" w:after="60"/>
      </w:pPr>
      <w:r>
        <w:t>Paradoja de Pac314</w:t>
      </w:r>
    </w:p>
    <w:p w14:paraId="20A0C456"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5298DB80" w14:textId="77777777" w:rsidR="00812477" w:rsidRDefault="00000000">
      <w:pPr>
        <w:spacing w:before="180" w:after="60"/>
      </w:pPr>
      <w:r>
        <w:t>Predicción prospectiva (módulo NB08)</w:t>
      </w:r>
    </w:p>
    <w:p w14:paraId="4D29A98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525A36DA" w14:textId="77777777" w:rsidR="00812477" w:rsidRDefault="00000000">
      <w:pPr>
        <w:spacing w:before="180" w:after="60"/>
      </w:pPr>
      <w:r>
        <w:t>Proyecto PAC (Proyecto de Procesamiento Autonómico Continuo)</w:t>
      </w:r>
    </w:p>
    <w:p w14:paraId="69F71E9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(Estados PAC triescala + coupling index) y paciente (fenotipo longitudinal + modelos predictivos). La cadena EDO → Estados → Acople → Fenotipia → Predicción es la columna vertebral del arco analítico.</w:t>
      </w:r>
    </w:p>
    <w:p w14:paraId="485E4992" w14:textId="77777777" w:rsidR="00F6400B" w:rsidRPr="00A532BC" w:rsidRDefault="00000000">
      <w:pPr>
        <w:rPr>
          <w:b/>
          <w:bCs/>
        </w:rPr>
      </w:pPr>
      <w:r>
        <w:t>Polisomnografía (PSG)</w:t>
      </w:r>
    </w:p>
    <w:p w14:paraId="64394C64" w14:textId="77777777" w:rsidR="00F6400B" w:rsidRDefault="00000000">
      <w:r>
        <w:t>Véase PSG.</w:t>
      </w:r>
    </w:p>
    <w:p w14:paraId="053476D1" w14:textId="77777777" w:rsidR="00812477" w:rsidRDefault="00000000">
      <w:pPr>
        <w:spacing w:before="180" w:after="60"/>
      </w:pPr>
      <w:r>
        <w:t>PSG (Polisomnografía)</w:t>
      </w:r>
    </w:p>
    <w:p w14:paraId="48BEE546"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5E6E94DB" w14:textId="77777777" w:rsidR="008F4E03" w:rsidRDefault="008F4E03" w:rsidP="008F4E03">
      <w:pPr>
        <w:spacing w:before="180" w:after="60" w:line="360" w:lineRule="auto"/>
        <w:jc w:val="both"/>
        <w:rPr>
          <w:b/>
          <w:bCs/>
        </w:rPr>
      </w:pPr>
      <w:r>
        <w:t>Ramp-up: período de latencia entre la activación del estímulo eléctrico y la producción del efecto fisiológico; estimado en ~90 s para la estimulación transcutánea (Clifton et al., 2015).</w:t>
      </w:r>
    </w:p>
    <w:p w14:paraId="53517B03" w14:textId="77777777" w:rsidR="00812477" w:rsidRDefault="00000000">
      <w:pPr>
        <w:spacing w:before="180" w:after="60"/>
      </w:pPr>
      <w:r>
        <w:t>Resiliencia fisiológica post-evento severo</w:t>
      </w:r>
    </w:p>
    <w:p w14:paraId="77E8F9AE" w14:textId="77777777" w:rsidR="00812477" w:rsidRDefault="00000000">
      <w:pPr>
        <w:spacing w:after="160" w:line="360" w:lineRule="auto"/>
        <w:jc w:val="both"/>
      </w:pPr>
      <w:r>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3FBF6F03" w14:textId="77777777" w:rsidR="00812477" w:rsidRDefault="00000000">
      <w:pPr>
        <w:spacing w:before="180" w:after="60"/>
      </w:pPr>
      <w:r>
        <w:t>Risk Score PAC (0–100)</w:t>
      </w:r>
    </w:p>
    <w:p w14:paraId="2E12A806" w14:textId="77777777" w:rsidR="00812477" w:rsidRDefault="00000000">
      <w:pPr>
        <w:spacing w:after="160" w:line="360" w:lineRule="auto"/>
        <w:jc w:val="both"/>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Gradiente de medianas por categoría AASM: 25,6 (Normal) / 31,6 (Leve) / 72,2 (Moderado) / 80,8 (Severo). Es un índice retrospectivo —se calcula sobre la noche ya procesada—; no es un sistema de monitoreo en tiempo real.</w:t>
      </w:r>
    </w:p>
    <w:p w14:paraId="1CC4B12B" w14:textId="77777777" w:rsidR="00F6400B" w:rsidRDefault="00000000">
      <w:r>
        <w:t>Síndrome de Apnea Obstructiva del Sueño (SAOS)</w:t>
      </w:r>
    </w:p>
    <w:p w14:paraId="40CD80EF" w14:textId="77777777" w:rsidR="00F6400B" w:rsidRDefault="00000000">
      <w:r>
        <w:t>Véase SAOS.</w:t>
      </w:r>
    </w:p>
    <w:p w14:paraId="26D82126" w14:textId="77777777" w:rsidR="00812477" w:rsidRDefault="00000000">
      <w:pPr>
        <w:spacing w:before="180" w:after="60"/>
      </w:pPr>
      <w:r>
        <w:t>SAOS (Síndrome de Apneas Obstructivas del Sueño)</w:t>
      </w:r>
    </w:p>
    <w:p w14:paraId="4C7C7DDB"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5EF5063C" w14:textId="77777777" w:rsidR="00812477" w:rsidRDefault="00000000">
      <w:pPr>
        <w:spacing w:before="180" w:after="60"/>
      </w:pPr>
      <w:r>
        <w:t>SOMNI 6000</w:t>
      </w:r>
    </w:p>
    <w:p w14:paraId="78FD172A" w14:textId="77777777" w:rsidR="00812477" w:rsidRDefault="00000000">
      <w:pPr>
        <w:spacing w:after="160" w:line="360" w:lineRule="auto"/>
        <w:jc w:val="both"/>
      </w:pPr>
      <w:r>
        <w:t>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preventiva es una hipótesis operacional pendiente de validación en ensayo clínico controlado.</w:t>
      </w:r>
    </w:p>
    <w:p w14:paraId="206EB1A0" w14:textId="77777777" w:rsidR="00812477" w:rsidRDefault="00000000">
      <w:pPr>
        <w:spacing w:before="180" w:after="60"/>
      </w:pPr>
      <w:r>
        <w:t>SpO₂ (Saturación periférica de oxígeno)</w:t>
      </w:r>
    </w:p>
    <w:p w14:paraId="51A11B45" w14:textId="77777777" w:rsidR="00812477" w:rsidRDefault="00000000">
      <w:pPr>
        <w:spacing w:after="160" w:line="360" w:lineRule="auto"/>
        <w:jc w:val="both"/>
      </w:pPr>
      <w:r>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2C9FFF3C" w14:textId="77777777" w:rsidR="00812477" w:rsidRDefault="00000000">
      <w:pPr>
        <w:spacing w:before="180" w:after="60"/>
      </w:pPr>
      <w:r>
        <w:t>T90</w:t>
      </w:r>
    </w:p>
    <w:p w14:paraId="110F5A1F" w14:textId="77777777" w:rsidR="00812477" w:rsidRDefault="00000000">
      <w:pPr>
        <w:spacing w:after="160" w:line="360" w:lineRule="auto"/>
        <w:jc w:val="both"/>
      </w:pPr>
      <w:r>
        <w:t>Porcentaje del tiempo de sueño con SpO₂ &lt; 90 %. Métrica de carga hipóxica acumulada. En el Proyecto PAC, M1 (Estados PAC escala M) es el mejor predictor de T90 (ρ = +0,744) de todo el sistema, seguido por L0 (ρ = +0,705 a escala L). El ICC(1,1) del T90 es de 0,52 en la cohorte completa y 0,69 en la estricta.</w:t>
      </w:r>
    </w:p>
    <w:p w14:paraId="15010904" w14:textId="77777777" w:rsidR="00812477" w:rsidRDefault="00000000">
      <w:pPr>
        <w:spacing w:before="180" w:after="60"/>
      </w:pPr>
      <w:r>
        <w:t>Trayectoria nocturna</w:t>
      </w:r>
    </w:p>
    <w:p w14:paraId="63C3A94E"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644300C8" w14:textId="77777777" w:rsidR="00812477" w:rsidRDefault="00000000">
      <w:pPr>
        <w:spacing w:before="180" w:after="60"/>
      </w:pPr>
      <w:r>
        <w:t>Trazabilidad del pipeline</w:t>
      </w:r>
    </w:p>
    <w:p w14:paraId="7981E4A0"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072CC484" w14:textId="77777777" w:rsidR="00812477" w:rsidRDefault="00000000">
      <w:pPr>
        <w:spacing w:before="180" w:after="60"/>
      </w:pPr>
      <w:r>
        <w:t>V de Cramér</w:t>
      </w:r>
    </w:p>
    <w:p w14:paraId="5B7BAF21" w14:textId="77777777" w:rsidR="00812477" w:rsidRDefault="00000000">
      <w:pPr>
        <w:spacing w:after="160" w:line="360" w:lineRule="auto"/>
        <w:jc w:val="both"/>
      </w:pPr>
      <w:r>
        <w:t>Medida de asociación entre dos variables categóricas, normalizada entre 0 (independencia) y 1 (asociación perfecta), derivada del estadístico Chi-cuadrado. Usada en el Proyecto PAC para cuantificar el acoplamiento morfotipo–estado: S = 0,355 / M = 0,229 / L = 0,194 sobre 83.892 eventos (NB05). Los valores decrecientes con la escala temporal indican que la escala S es más informativa sobre la morfología instantánea del evento.</w:t>
      </w:r>
    </w:p>
    <w:p w14:paraId="32FA6127" w14:textId="77777777" w:rsidR="00812477" w:rsidRDefault="00000000">
      <w:pPr>
        <w:spacing w:before="180" w:after="60"/>
      </w:pPr>
      <w:r>
        <w:t>Variabilidad noche a noche</w:t>
      </w:r>
    </w:p>
    <w:p w14:paraId="4A6DD8AE" w14:textId="77777777" w:rsidR="00812477" w:rsidRDefault="00000000">
      <w:pPr>
        <w:spacing w:after="160" w:line="360" w:lineRule="auto"/>
        <w:jc w:val="both"/>
      </w:pPr>
      <w:r>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(ICC = 0,94 a 7 noches, MAE = 2,1 ev/h); el ARI es estable desde la primera noche de registro.</w:t>
      </w:r>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4C5CAC"/>
    <w:rsid w:val="00812477"/>
    <w:rsid w:val="00833978"/>
    <w:rsid w:val="008F4E03"/>
    <w:rsid w:val="00A532BC"/>
    <w:rsid w:val="00F640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946695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3185</Words>
  <Characters>17264</Characters>
  <Application>Microsoft Office Word</Application>
  <DocSecurity>0</DocSecurity>
  <Lines>287</Lines>
  <Paragraphs>116</Paragraphs>
  <ScaleCrop>false</ScaleCrop>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2026-06-02T19:58:00Z</dcterms:created>
  <dcterms:modified xsi:type="dcterms:W3CDTF">2026-06-08T15:23:00Z</dcterms:modified>
</cp:coreProperties>
</file>