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200"/>
      </w:pPr>
      <w:r>
        <w:rPr>
          <w:rFonts w:ascii="Arial" w:cs="Arial" w:eastAsia="Arial" w:hAnsi="Arial"/>
          <w:color w:val="6B7280"/>
          <w:sz w:val="18"/>
          <w:szCs w:val="18"/>
        </w:rPr>
        <w:t xml:space="preserve">Versión 2  ·  Mayo 2026</w:t>
      </w:r>
    </w:p>
    <w:p>
      <w:pPr>
        <w:spacing w:after="160"/>
      </w:pPr>
      <w:r>
        <w:rPr>
          <w:rFonts w:ascii="Arial" w:cs="Arial" w:eastAsia="Arial" w:hAnsi="Arial"/>
          <w:sz w:val="21"/>
          <w:szCs w:val="21"/>
        </w:rPr>
        <w:t xml:space="preserve">El presente glosario reúne los términos técnicos, acrónimos y conceptos metodológicos utilizados a lo largo de la tesis, organizados en ocho dominios temáticos. Su objetivo es facilitar la lectura a audiencias con formación en ciencias de datos sin especialización en medicina del sueño, y viceversa.</w:t>
      </w:r>
    </w:p>
    <w:p>
      <w:pPr>
        <w:pBdr>
          <w:bottom w:val="single" w:color="D0D8E4" w:sz="4"/>
        </w:pBdr>
        <w:spacing w:after="120" w:before="400"/>
      </w:pPr>
      <w:r>
        <w:rPr>
          <w:rFonts w:ascii="Arial" w:cs="Arial" w:eastAsia="Arial" w:hAnsi="Arial"/>
          <w:b/>
          <w:bCs/>
          <w:color w:val="1E3A5F"/>
          <w:sz w:val="26"/>
          <w:szCs w:val="26"/>
        </w:rPr>
        <w:t xml:space="preserve">1. Estadística</w:t>
      </w:r>
    </w:p>
    <w:p>
      <w:pPr>
        <w:spacing w:after="40" w:before="160"/>
      </w:pPr>
      <w:r>
        <w:rPr>
          <w:rFonts w:ascii="Arial" w:cs="Arial" w:eastAsia="Arial" w:hAnsi="Arial"/>
          <w:b/>
          <w:bCs/>
          <w:color w:val="2E75B6"/>
          <w:sz w:val="22"/>
          <w:szCs w:val="22"/>
        </w:rPr>
        <w:t xml:space="preserve">AUC (Area Under the Curve)</w:t>
      </w:r>
    </w:p>
    <w:p>
      <w:pPr>
        <w:spacing w:after="100" w:before="0"/>
        <w:ind w:left="360"/>
      </w:pPr>
      <w:r>
        <w:rPr>
          <w:rFonts w:ascii="Arial" w:cs="Arial" w:eastAsia="Arial" w:hAnsi="Arial"/>
          <w:sz w:val="20"/>
          <w:szCs w:val="20"/>
        </w:rPr>
        <w:t xml:space="preserve">Área bajo la curva ROC. Mide la capacidad discriminativa de un clasificador independientemente del umbral elegido. AUC = 0,5 equivale a clasificación aleatoria; AUC = 1,0 indica discriminación perfecta. Usado en el Proyecto PAC para evaluar los modelos NB07 y NB08 (AUC = 0,905 y 0,821, respectivamente).</w:t>
      </w:r>
    </w:p>
    <w:p>
      <w:pPr>
        <w:spacing w:after="40" w:before="160"/>
      </w:pPr>
      <w:r>
        <w:rPr>
          <w:rFonts w:ascii="Arial" w:cs="Arial" w:eastAsia="Arial" w:hAnsi="Arial"/>
          <w:b/>
          <w:bCs/>
          <w:color w:val="2E75B6"/>
          <w:sz w:val="22"/>
          <w:szCs w:val="22"/>
        </w:rPr>
        <w:t xml:space="preserve">Average Precision (AP)</w:t>
      </w:r>
    </w:p>
    <w:p>
      <w:pPr>
        <w:spacing w:after="100" w:before="0"/>
        <w:ind w:left="360"/>
      </w:pPr>
      <w:r>
        <w:rPr>
          <w:rFonts w:ascii="Arial" w:cs="Arial" w:eastAsia="Arial" w:hAnsi="Arial"/>
          <w:sz w:val="20"/>
          <w:szCs w:val="20"/>
        </w:rPr>
        <w:t xml:space="preserve">Área bajo la curva Precisión-Recall (PR). Métrica preferida sobre el AUC-ROC cuando las clases están desbalanceadas, ya que no incluye los verdaderos negativos en su cómputo (Saito &amp; Rehmsmeier, 2015). En el corpus NB07 (evento severo), AP = 0,240 vs. baseline = 0,056.</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w:t>
      </w:r>
    </w:p>
    <w:p>
      <w:pPr>
        <w:spacing w:after="40" w:before="160"/>
      </w:pPr>
      <w:r>
        <w:rPr>
          <w:rFonts w:ascii="Arial" w:cs="Arial" w:eastAsia="Arial" w:hAnsi="Arial"/>
          <w:b/>
          <w:bCs/>
          <w:color w:val="2E75B6"/>
          <w:sz w:val="22"/>
          <w:szCs w:val="22"/>
        </w:rPr>
        <w:t xml:space="preserve">Bootstrap</w:t>
      </w:r>
    </w:p>
    <w:p>
      <w:pPr>
        <w:spacing w:after="100" w:before="0"/>
        <w:ind w:left="360"/>
      </w:pPr>
      <w:r>
        <w:rPr>
          <w:rFonts w:ascii="Arial" w:cs="Arial" w:eastAsia="Arial" w:hAnsi="Arial"/>
          <w:sz w:val="20"/>
          <w:szCs w:val="20"/>
        </w:rPr>
        <w:t xml:space="preserve">Técnica de remuestreo con reposición para estimar la distribución de un estadístico. Se usa para calcular intervalos de confianza cuando la distribución teórica no es conocida. En el Proyecto PAC se emplea para estimar el ICC(1,1) a nivel de paciente (300 iteraciones).</w:t>
      </w:r>
    </w:p>
    <w:p>
      <w:pPr>
        <w:spacing w:after="40" w:before="160"/>
      </w:pPr>
      <w:r>
        <w:rPr>
          <w:rFonts w:ascii="Arial" w:cs="Arial" w:eastAsia="Arial" w:hAnsi="Arial"/>
          <w:b/>
          <w:bCs/>
          <w:color w:val="2E75B6"/>
          <w:sz w:val="22"/>
          <w:szCs w:val="22"/>
        </w:rPr>
        <w:t xml:space="preserve">Calibración (de modelo)</w:t>
      </w:r>
    </w:p>
    <w:p>
      <w:pPr>
        <w:spacing w:after="100" w:before="0"/>
        <w:ind w:left="360"/>
      </w:pPr>
      <w:r>
        <w:rPr>
          <w:rFonts w:ascii="Arial" w:cs="Arial" w:eastAsia="Arial" w:hAnsi="Arial"/>
          <w:sz w:val="20"/>
          <w:szCs w:val="20"/>
        </w:rPr>
        <w:t xml:space="preserve">Grado en que las probabilidades predichas por un modelo se corresponden con las frecuencias observadas. Un modelo mal calibrado puede predecir p = 0,8 cuando la proporción real de positivos es 0,2. LightGBM con pesos uniformes (sin scale_pos_weight) sobreestima ~4× en el corpus NB08. Platt scaling e isotónica son técnicas de corrección.</w:t>
      </w:r>
    </w:p>
    <w:p>
      <w:pPr>
        <w:spacing w:after="40" w:before="160"/>
      </w:pPr>
      <w:r>
        <w:rPr>
          <w:rFonts w:ascii="Arial" w:cs="Arial" w:eastAsia="Arial" w:hAnsi="Arial"/>
          <w:b/>
          <w:bCs/>
          <w:color w:val="2E75B6"/>
          <w:sz w:val="22"/>
          <w:szCs w:val="22"/>
        </w:rPr>
        <w:t xml:space="preserve">Correlación de Spearman (ρ)</w:t>
      </w:r>
    </w:p>
    <w:p>
      <w:pPr>
        <w:spacing w:after="100" w:before="0"/>
        <w:ind w:left="360"/>
      </w:pPr>
      <w:r>
        <w:rPr>
          <w:rFonts w:ascii="Arial" w:cs="Arial" w:eastAsia="Arial" w:hAnsi="Arial"/>
          <w:sz w:val="20"/>
          <w:szCs w:val="20"/>
        </w:rPr>
        <w:t xml:space="preserve">Coeficiente de correlación de rangos. Mide la asociación monótona entre dos variables sin asumir linealidad ni distribución normal. Utilizado en el Proyecto PAC para medir asociaciones entre features nocturnas e índices clínicos (p. ej., ρ(ARI, ODI3) = 0,034).</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w:t>
      </w:r>
    </w:p>
    <w:p>
      <w:pPr>
        <w:spacing w:after="40" w:before="160"/>
      </w:pPr>
      <w:r>
        <w:rPr>
          <w:rFonts w:ascii="Arial" w:cs="Arial" w:eastAsia="Arial" w:hAnsi="Arial"/>
          <w:b/>
          <w:bCs/>
          <w:color w:val="2E75B6"/>
          <w:sz w:val="22"/>
          <w:szCs w:val="22"/>
        </w:rPr>
        <w:t xml:space="preserve">ICC (Intraclass Correlation Coefficient — Coeficiente de Correlación Intraclase)</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rasgo moderadamente estable del paciente. Valores &gt; 0,75 se consideran excelentes; 0,50–0,75, moderados.</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Menos sensible a valores extremos que la media. Utilizada como estadístico de resumen en el Proyecto PAC para features como el IEI (mediana = 82 s).</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Por ello el Proyecto PAC enfatiza tamaños de efecto (ρ, AUC, ICC) sobre p-valores (Wasserstein &amp; Lazar, 2016).</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el corpus NB08 con umbral de Youden para H=5 min: PPV = 20%, es decir, 1 de cada 5 alarmas corresponde a un evento severo real.</w:t>
      </w:r>
    </w:p>
    <w:p>
      <w:pPr>
        <w:spacing w:after="40" w:before="160"/>
      </w:pPr>
      <w:r>
        <w:rPr>
          <w:rFonts w:ascii="Arial" w:cs="Arial" w:eastAsia="Arial" w:hAnsi="Arial"/>
          <w:b/>
          <w:bCs/>
          <w:color w:val="2E75B6"/>
          <w:sz w:val="22"/>
          <w:szCs w:val="22"/>
        </w:rPr>
        <w:t xml:space="preserve">Punto de corte / Umbral (threshold)</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maximiza (sensibilidad + especificidad − 1).</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siendo robusto a valores extremos.</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proporción de positivos reales correctamente identificados (TP / (TP + FN)). Especificidad: proporción de negativos reales correctamente rechazados (TN / (TN + FP)). En NB08 para H=5 min: Sens = 76%, Spec = 74%.</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normalizada entre 0 y 1. Usada en el Proyecto PAC para medir el acoplamiento morfotipo–estado: S=0,356 / M=0,231 / L=0,196 (NB04, 560 noches).</w:t>
      </w:r>
    </w:p>
    <w:p>
      <w:pPr>
        <w:pBdr>
          <w:bottom w:val="single" w:color="D0D8E4" w:sz="4"/>
        </w:pBdr>
        <w:spacing w:after="120" w:before="400"/>
      </w:pPr>
      <w:r>
        <w:rPr>
          <w:rFonts w:ascii="Arial" w:cs="Arial" w:eastAsia="Arial" w:hAnsi="Arial"/>
          <w:b/>
          <w:bCs/>
          <w:color w:val="1E3A5F"/>
          <w:sz w:val="26"/>
          <w:szCs w:val="26"/>
        </w:rPr>
        <w:t xml:space="preserve">2. Matemáticas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Proyecto PAC, el área bajo la curva de SpO₂ durante un evento cuantifica la carga hipóxica acumulada (hypoxic burden). Se calcula como la integral discreta de la diferencia entre el baseline y la SpO₂ observada a lo largo de la duración del evento.</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evento.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Cadena de Markov</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Utilizado para modelar las transiciones entre PAC States. El Proyecto PAC analiza 462.519 transiciones en escala S, 45.900 en M y 7.196 en L.</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K-means en el fenotipado morfológico.</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o aleatoriedad de una distribución de probabilidad. En el Proyecto PAC se calcula sobre la distribución de estados en cada escala (S, M, L) como feature nocturna. Noches con alta entropía presentan una distribución más uniforme de estados.</w:t>
      </w:r>
    </w:p>
    <w:p>
      <w:pPr>
        <w:spacing w:after="40" w:before="160"/>
      </w:pPr>
      <w:r>
        <w:rPr>
          <w:rFonts w:ascii="Arial" w:cs="Arial" w:eastAsia="Arial" w:hAnsi="Arial"/>
          <w:b/>
          <w:bCs/>
          <w:color w:val="2E75B6"/>
          <w:sz w:val="22"/>
          <w:szCs w:val="22"/>
        </w:rPr>
        <w:t xml:space="preserve">Inercia (K-means)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K-means. El método del codo (elbow) busca el K donde la reducción de inercia al añadir un cluster adicional se aplana.</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 cadena de Markov. En el Proyecto PAC se estima empíricamente sobre las transiciones observadas entre ventanas consecutivas de cada escala.</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y la señal limpia de movimiento.</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de una distribución es el valor por debajo del cual cae el k% de las observaciones. En el ARI, P(x) = rankdata(x) / N es el rango percentil de x dentro del corpus completo de 85.277 EDOs.</w:t>
      </w:r>
    </w:p>
    <w:p>
      <w:pPr>
        <w:spacing w:after="40" w:before="160"/>
      </w:pPr>
      <w:r>
        <w:rPr>
          <w:rFonts w:ascii="Arial" w:cs="Arial" w:eastAsia="Arial" w:hAnsi="Arial"/>
          <w:b/>
          <w:bCs/>
          <w:color w:val="2E75B6"/>
          <w:sz w:val="22"/>
          <w:szCs w:val="22"/>
        </w:rPr>
        <w:t xml:space="preserve">Proyección PCA</w:t>
      </w:r>
    </w:p>
    <w:p>
      <w:pPr>
        <w:spacing w:after="100" w:before="0"/>
        <w:ind w:left="360"/>
      </w:pPr>
      <w:r>
        <w:rPr>
          <w:rFonts w:ascii="Arial" w:cs="Arial" w:eastAsia="Arial" w:hAnsi="Arial"/>
          <w:sz w:val="20"/>
          <w:szCs w:val="20"/>
        </w:rPr>
        <w:t xml:space="preserve">Transformación lineal que proyecta los datos originales sobre las componentes principales (autovectores de la matriz de covarianza), ordenadas por varianza explicada decreciente. Permite representar datos de alta dimensión en un espacio reducido conservando la mayor parte de la variabilidad.</w:t>
      </w:r>
    </w:p>
    <w:p>
      <w:pPr>
        <w:pBdr>
          <w:bottom w:val="single" w:color="D0D8E4" w:sz="4"/>
        </w:pBdr>
        <w:spacing w:after="120" w:before="400"/>
      </w:pPr>
      <w:r>
        <w:rPr>
          <w:rFonts w:ascii="Arial" w:cs="Arial" w:eastAsia="Arial" w:hAnsi="Arial"/>
          <w:b/>
          <w:bCs/>
          <w:color w:val="1E3A5F"/>
          <w:sz w:val="26"/>
          <w:szCs w:val="26"/>
        </w:rPr>
        <w:t xml:space="preserve">3. Ciencia de Datos</w:t>
      </w:r>
    </w:p>
    <w:p>
      <w:pPr>
        <w:spacing w:after="40" w:before="160"/>
      </w:pPr>
      <w:r>
        <w:rPr>
          <w:rFonts w:ascii="Arial" w:cs="Arial" w:eastAsia="Arial" w:hAnsi="Arial"/>
          <w:b/>
          <w:bCs/>
          <w:color w:val="2E75B6"/>
          <w:sz w:val="22"/>
          <w:szCs w:val="22"/>
        </w:rPr>
        <w:t xml:space="preserve">Ablación (análisis de)</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y el ARI solo el 3,4%.</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que organiza el procesamiento en capas de calidad creciente: Bronze (datos crudos), Silver (datos validados), Gold (datos analíticos). Adoptado por el pipeline PAC_v3.</w:t>
      </w:r>
    </w:p>
    <w:p>
      <w:pPr>
        <w:spacing w:after="40" w:before="160"/>
      </w:pPr>
      <w:r>
        <w:rPr>
          <w:rFonts w:ascii="Arial" w:cs="Arial" w:eastAsia="Arial" w:hAnsi="Arial"/>
          <w:b/>
          <w:bCs/>
          <w:color w:val="2E75B6"/>
          <w:sz w:val="22"/>
          <w:szCs w:val="22"/>
        </w:rPr>
        <w:t xml:space="preserve">Clustering / Agrupamiento no supervisado</w:t>
      </w:r>
    </w:p>
    <w:p>
      <w:pPr>
        <w:spacing w:after="100" w:before="0"/>
        <w:ind w:left="360"/>
      </w:pPr>
      <w:r>
        <w:rPr>
          <w:rFonts w:ascii="Arial" w:cs="Arial" w:eastAsia="Arial" w:hAnsi="Arial"/>
          <w:sz w:val="20"/>
          <w:szCs w:val="20"/>
        </w:rPr>
        <w:t xml:space="preserve">Familia de algoritmos que particionan un conjunto de observaciones en grupos (clusters) con alta cohesión interna y alta separación entre grupos, sin etiquetas previas. El Proyecto PAC usa K-means para el fenotipado morfológico (K=5) y los PAC States (K=7/5/4).</w:t>
      </w:r>
    </w:p>
    <w:p>
      <w:pPr>
        <w:spacing w:after="40" w:before="160"/>
      </w:pPr>
      <w:r>
        <w:rPr>
          <w:rFonts w:ascii="Arial" w:cs="Arial" w:eastAsia="Arial" w:hAnsi="Arial"/>
          <w:b/>
          <w:bCs/>
          <w:color w:val="2E75B6"/>
          <w:sz w:val="22"/>
          <w:szCs w:val="22"/>
        </w:rPr>
        <w:t xml:space="preserve">Feature engineering</w:t>
      </w:r>
    </w:p>
    <w:p>
      <w:pPr>
        <w:spacing w:after="100" w:before="0"/>
        <w:ind w:left="360"/>
      </w:pPr>
      <w:r>
        <w:rPr>
          <w:rFonts w:ascii="Arial" w:cs="Arial" w:eastAsia="Arial" w:hAnsi="Arial"/>
          <w:sz w:val="20"/>
          <w:szCs w:val="20"/>
        </w:rPr>
        <w:t xml:space="preserve">Proceso de construir variables (features) informativas a partir de datos crudos, aplicando transformaciones, agregaciones o conocimiento del dominio. En el Proyecto PAC, las 25+ features geométricas por EDO y las 146 features nocturnas son producto de feature engineering sobre las señales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y por ablación de bloques de features.</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El Proyecto PAC almacena sus tablas analíticas Gold en parquet: events.parquet, events_curves.parquet, states.parquet, nights.parquet, patients.parquet.</w:t>
      </w:r>
    </w:p>
    <w:p>
      <w:pPr>
        <w:spacing w:after="40" w:before="160"/>
      </w:pPr>
      <w:r>
        <w:rPr>
          <w:rFonts w:ascii="Arial" w:cs="Arial" w:eastAsia="Arial" w:hAnsi="Arial"/>
          <w:b/>
          <w:bCs/>
          <w:color w:val="2E75B6"/>
          <w:sz w:val="22"/>
          <w:szCs w:val="22"/>
        </w:rPr>
        <w:t xml:space="preserve">K-means</w:t>
      </w:r>
    </w:p>
    <w:p>
      <w:pPr>
        <w:spacing w:after="100" w:before="0"/>
        <w:ind w:left="360"/>
      </w:pPr>
      <w:r>
        <w:rPr>
          <w:rFonts w:ascii="Arial" w:cs="Arial" w:eastAsia="Arial" w:hAnsi="Arial"/>
          <w:sz w:val="20"/>
          <w:szCs w:val="20"/>
        </w:rPr>
        <w:t xml:space="preserve">Algoritmo iterativo de agrupamiento que asigna cada observación al centroide más cercano y actualiza los centroides como media de las observaciones asignadas, minimizando la inercia total. Usado en el Proyecto PAC para morfotipos (K=5) y PAC States (K=7, K=5, K=4).</w:t>
      </w:r>
    </w:p>
    <w:p>
      <w:pPr>
        <w:spacing w:after="40" w:before="160"/>
      </w:pPr>
      <w:r>
        <w:rPr>
          <w:rFonts w:ascii="Arial" w:cs="Arial" w:eastAsia="Arial" w:hAnsi="Arial"/>
          <w:b/>
          <w:bCs/>
          <w:color w:val="2E75B6"/>
          <w:sz w:val="22"/>
          <w:szCs w:val="22"/>
        </w:rPr>
        <w:t xml:space="preserve">LOPO-CV (Leave-One-Patient-Out Cross-Validation)</w:t>
      </w:r>
    </w:p>
    <w:p>
      <w:pPr>
        <w:spacing w:after="100" w:before="0"/>
        <w:ind w:left="360"/>
      </w:pPr>
      <w:r>
        <w:rPr>
          <w:rFonts w:ascii="Arial" w:cs="Arial" w:eastAsia="Arial" w:hAnsi="Arial"/>
          <w:sz w:val="20"/>
          <w:szCs w:val="20"/>
        </w:rPr>
        <w:t xml:space="preserve">Validación cruzada donde cada fold excluye todas las noches de un paciente. Previene la fuga de información entre noches del mismo paciente. El n efectivo es el número de pacientes (8 en la cohorte estricta), no el número de noches.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valores al rango [0,1]; estandarización los transforma a media=0 y DE=1. En el Proyecto PAC, las curvas de 30 puntos SpO₂ se normalizan antes del PCA para eliminar el efecto del nivel basal individual.</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En el fenotipado morfológico: PC1=62,9%, PC2=14,0%, PC3=7,0% sobre 84.248 curvas de 30 puntos.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de datos donde la salida de cada etapa es la entrada de la siguiente. El pipeline PAC_v3 implementa cuatro capas: Bronze → Silver → Events → Gold.</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basado en la teoría de juegos de Shapley. Asigna a cada feature un valor que representa su contribución marginal a la predicción de cada instancia. Permite identificar qué features impulsan predicciones individuales.</w:t>
      </w:r>
    </w:p>
    <w:p>
      <w:pPr>
        <w:spacing w:after="40" w:before="160"/>
      </w:pPr>
      <w:r>
        <w:rPr>
          <w:rFonts w:ascii="Arial" w:cs="Arial" w:eastAsia="Arial" w:hAnsi="Arial"/>
          <w:b/>
          <w:bCs/>
          <w:color w:val="2E75B6"/>
          <w:sz w:val="22"/>
          <w:szCs w:val="22"/>
        </w:rPr>
        <w:t xml:space="preserve">Silhouette score</w:t>
      </w:r>
    </w:p>
    <w:p>
      <w:pPr>
        <w:spacing w:after="100" w:before="0"/>
        <w:ind w:left="360"/>
      </w:pPr>
      <w:r>
        <w:rPr>
          <w:rFonts w:ascii="Arial" w:cs="Arial" w:eastAsia="Arial" w:hAnsi="Arial"/>
          <w:sz w:val="20"/>
          <w:szCs w:val="20"/>
        </w:rPr>
        <w:t xml:space="preserve">Métrica de calidad de clustering que combina la cohesión intracluster y la separación intercluster, con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Sobreajuste (overfitting)</w:t>
      </w:r>
    </w:p>
    <w:p>
      <w:pPr>
        <w:spacing w:after="100" w:before="0"/>
        <w:ind w:left="360"/>
      </w:pPr>
      <w:r>
        <w:rPr>
          <w:rFonts w:ascii="Arial" w:cs="Arial" w:eastAsia="Arial" w:hAnsi="Arial"/>
          <w:sz w:val="20"/>
          <w:szCs w:val="20"/>
        </w:rPr>
        <w:t xml:space="preserve">Fenómeno por el cual un modelo aprende los patrones específicos del conjunto de entrenamiento (incluyendo ruido) y no generaliza a datos nuevos. La validación LOPO-CV protege contra el sobreajuste en datos longitudinales con estructura por paciente.</w:t>
      </w:r>
    </w:p>
    <w:p>
      <w:pPr>
        <w:pBdr>
          <w:bottom w:val="single" w:color="D0D8E4" w:sz="4"/>
        </w:pBdr>
        <w:spacing w:after="120" w:before="400"/>
      </w:pPr>
      <w:r>
        <w:rPr>
          <w:rFonts w:ascii="Arial" w:cs="Arial" w:eastAsia="Arial" w:hAnsi="Arial"/>
          <w:b/>
          <w:bCs/>
          <w:color w:val="1E3A5F"/>
          <w:sz w:val="26"/>
          <w:szCs w:val="26"/>
        </w:rPr>
        <w:t xml:space="preserve">4. Modelos Predictivos</w:t>
      </w:r>
    </w:p>
    <w:p>
      <w:pPr>
        <w:spacing w:after="40" w:before="160"/>
      </w:pPr>
      <w:r>
        <w:rPr>
          <w:rFonts w:ascii="Arial" w:cs="Arial" w:eastAsia="Arial" w:hAnsi="Arial"/>
          <w:b/>
          <w:bCs/>
          <w:color w:val="2E75B6"/>
          <w:sz w:val="22"/>
          <w:szCs w:val="22"/>
        </w:rPr>
        <w:t xml:space="preserve">Balanced accuracy</w:t>
      </w:r>
    </w:p>
    <w:p>
      <w:pPr>
        <w:spacing w:after="100" w:before="0"/>
        <w:ind w:left="360"/>
      </w:pPr>
      <w:r>
        <w:rPr>
          <w:rFonts w:ascii="Arial" w:cs="Arial" w:eastAsia="Arial" w:hAnsi="Arial"/>
          <w:sz w:val="20"/>
          <w:szCs w:val="20"/>
        </w:rPr>
        <w:t xml:space="preserve">Media de la sensibilidad y la especificidad. Métrica adecuada para datasets desbalanceados, ya que penaliza igualmente los errores en ambas clases. En NB06, el modelo de ablación completo obtuvo balanced accuracy = 0,281 para el ARI solo.</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Logistic Regression: AUC = 0,905 / AP = 0,834 vs. baseline = 0,348. Corpus: 494 noches de 8 pacientes.</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la predicción y el inicio del evento severo que se quiere anticipar. Evaluado en H ∈ {2, 5, 10, 15} min. H=5 min es el horizonte óptimo (AUC = 0,821 ± 0,022).</w:t>
      </w:r>
    </w:p>
    <w:p>
      <w:pPr>
        <w:spacing w:after="40" w:before="160"/>
      </w:pPr>
      <w:r>
        <w:rPr>
          <w:rFonts w:ascii="Arial" w:cs="Arial" w:eastAsia="Arial" w:hAnsi="Arial"/>
          <w:b/>
          <w:bCs/>
          <w:color w:val="2E75B6"/>
          <w:sz w:val="22"/>
          <w:szCs w:val="22"/>
        </w:rPr>
        <w:t xml:space="preserve">LightGBM</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Principal modelo supervisado del Proyecto PAC (Ke et al., 2017). Supera a la Regresión Logística en 3–5 puntos AUC en NB07 y NB08.</w:t>
      </w:r>
    </w:p>
    <w:p>
      <w:pPr>
        <w:spacing w:after="40" w:before="160"/>
      </w:pPr>
      <w:r>
        <w:rPr>
          <w:rFonts w:ascii="Arial" w:cs="Arial" w:eastAsia="Arial" w:hAnsi="Arial"/>
          <w:b/>
          <w:bCs/>
          <w:color w:val="2E75B6"/>
          <w:sz w:val="22"/>
          <w:szCs w:val="22"/>
        </w:rPr>
        <w:t xml:space="preserve">NB06 —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ablación sistemática con LightGBM y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n=76.053 eventos) y Bloque C (clasificación de riesgo nocturno, AUC=0,905,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prospectiva: 452.955 ventanas de 30 s × 4 horizontes, 8 pacientes, 540 noches. AUC óptimo = 0,821 para H=5 min. Resultado central: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menor prevalencia de eventos severos (1,6%) pero mayor AUC en NB08 (0,87). Demuestra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no tiene acceso a la señal del evento mismo, solo a features backward-looking.</w:t>
      </w:r>
    </w:p>
    <w:p>
      <w:pPr>
        <w:spacing w:after="40" w:before="160"/>
      </w:pPr>
      <w:r>
        <w:rPr>
          <w:rFonts w:ascii="Arial" w:cs="Arial" w:eastAsia="Arial" w:hAnsi="Arial"/>
          <w:b/>
          <w:bCs/>
          <w:color w:val="2E75B6"/>
          <w:sz w:val="22"/>
          <w:szCs w:val="22"/>
        </w:rPr>
        <w:t xml:space="preserve">Random Forest</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Modelo de comparación en el Proyecto PAC (NB07 Bloque C: AUC = 0,783 vs. LR = 0,905).</w:t>
      </w:r>
    </w:p>
    <w:p>
      <w:pPr>
        <w:spacing w:after="40" w:before="160"/>
      </w:pPr>
      <w:r>
        <w:rPr>
          <w:rFonts w:ascii="Arial" w:cs="Arial" w:eastAsia="Arial" w:hAnsi="Arial"/>
          <w:b/>
          <w:bCs/>
          <w:color w:val="2E75B6"/>
          <w:sz w:val="22"/>
          <w:szCs w:val="22"/>
        </w:rPr>
        <w:t xml:space="preserve">Regresión Logística (LR)</w:t>
      </w:r>
    </w:p>
    <w:p>
      <w:pPr>
        <w:spacing w:after="100" w:before="0"/>
        <w:ind w:left="360"/>
      </w:pPr>
      <w:r>
        <w:rPr>
          <w:rFonts w:ascii="Arial" w:cs="Arial" w:eastAsia="Arial" w:hAnsi="Arial"/>
          <w:sz w:val="20"/>
          <w:szCs w:val="20"/>
        </w:rPr>
        <w:t xml:space="preserve">Modelo lineal para clasificación binaria que estima la probabilidad de la clase positiva mediante la función sigmoide. Baseline interpretable en los análisis NB07 y NB08.</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caracterización dinámica retrospectiva calculado como 0,40 × p_ev_norm + 0,60 × p_high_risk_night. Se calcula sobre la noche ya procesada; no es un sistema de monitoreo en tiempo real. Útil para fenotipado post-diagnóstico y seguimiento longitudinal.</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 LightGBM que aumenta el peso de la clase positiva para compensar el desbalance. En NB08 se optó por pesos uniformes (sin scale_pos_weight) para obtener rankings de riesgo útiles, aceptando la consecuente sobreestimación de probabilidades absolutas (~4×).</w:t>
      </w:r>
    </w:p>
    <w:p>
      <w:pPr>
        <w:spacing w:after="40" w:before="160"/>
      </w:pPr>
      <w:r>
        <w:rPr>
          <w:rFonts w:ascii="Arial" w:cs="Arial" w:eastAsia="Arial" w:hAnsi="Arial"/>
          <w:b/>
          <w:bCs/>
          <w:color w:val="2E75B6"/>
          <w:sz w:val="22"/>
          <w:szCs w:val="22"/>
        </w:rPr>
        <w:t xml:space="preserve">Ventana deslizante (sliding window)</w:t>
      </w:r>
    </w:p>
    <w:p>
      <w:pPr>
        <w:spacing w:after="100" w:before="0"/>
        <w:ind w:left="360"/>
      </w:pPr>
      <w:r>
        <w:rPr>
          <w:rFonts w:ascii="Arial" w:cs="Arial" w:eastAsia="Arial" w:hAnsi="Arial"/>
          <w:sz w:val="20"/>
          <w:szCs w:val="20"/>
        </w:rPr>
        <w:t xml:space="preserve">Segmento de longitud fija desplazado a lo largo de la serie temporal. En NB08, ventanas de 30 s sin solapamiento generan 452.955 instancias. Las features son backward-looking: calculadas sobre la historia previa a la ventana.</w:t>
      </w:r>
    </w:p>
    <w:p>
      <w:pPr>
        <w:pBdr>
          <w:bottom w:val="single" w:color="D0D8E4" w:sz="4"/>
        </w:pBdr>
        <w:spacing w:after="120" w:before="400"/>
      </w:pPr>
      <w:r>
        <w:rPr>
          <w:rFonts w:ascii="Arial" w:cs="Arial" w:eastAsia="Arial" w:hAnsi="Arial"/>
          <w:b/>
          <w:bCs/>
          <w:color w:val="1E3A5F"/>
          <w:sz w:val="26"/>
          <w:szCs w:val="26"/>
        </w:rPr>
        <w:t xml:space="preserve">5. Neumología</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Principal evento registrado en pacientes con SAOS.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(mediana deslizante 120 s). Unidad fisiológica elemental del análisis del Proyecto PAC. El corpus contiene 85.277 EDOs quality.</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o microdespertar. A diferencia de la apnea, no hay cese completo del flujo.</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de referencia para el diagnóstico del SAOS. Registra simultáneamente EEG, EOG, EMG, flujo aéreo, esfuerzo ventilatorio, SpO₂ y ECG durante una noche en laboratorio. No disponible en la cohorte del Proyecto PAC.</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Transmisión Bluetooth LE. La habilitación del estimulador como intervención terapéutica es una hipótesis operacional pendiente de ensayo clínico controlado.</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El sueño REM (Rapid Eye Movement) se asocia con mayor tono muscular reducido y sueños vívidos; el NREM incluye sueño ligero (N1, N2) y sueño profundo (N3). El SAOS tiende a ser más severo en REM y en decúbito supino.</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Mejor predictor de desenlaces cardiovasculares adversos que el AHI aislado.</w:t>
      </w:r>
    </w:p>
    <w:p>
      <w:pPr>
        <w:pBdr>
          <w:bottom w:val="single" w:color="D0D8E4" w:sz="4"/>
        </w:pBdr>
        <w:spacing w:after="120" w:before="400"/>
      </w:pPr>
      <w:r>
        <w:rPr>
          <w:rFonts w:ascii="Arial" w:cs="Arial" w:eastAsia="Arial" w:hAnsi="Arial"/>
          <w:b/>
          <w:bCs/>
          <w:color w:val="1E3A5F"/>
          <w:sz w:val="26"/>
          <w:szCs w:val="26"/>
        </w:rPr>
        <w:t xml:space="preserve">6. Fisiología de la Respiración</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Predice mortalidad cardiovascular independientemente del AHI (Azarbarzin et al., 2019).</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en el ARI (hr_gain) y como feature en los PAC States.</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las diferencias de absorción de luz entre HbO₂ y desoxihemoglobina.</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(SpO₂ persistentemente baja) modifica la interpretación de las caídas relativas.</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y feature en los PAC States.</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FC. La señal PPG es sensible a artefactos de movimiento.</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modulando la ventilación. La quimiosensibilidad elevada puede contribuir a la inestabilidad respiratoria en el SAOS.</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w:t>
      </w:r>
    </w:p>
    <w:p>
      <w:pPr>
        <w:pBdr>
          <w:bottom w:val="single" w:color="D0D8E4" w:sz="4"/>
        </w:pBdr>
        <w:spacing w:after="120" w:before="400"/>
      </w:pPr>
      <w:r>
        <w:rPr>
          <w:rFonts w:ascii="Arial" w:cs="Arial" w:eastAsia="Arial" w:hAnsi="Arial"/>
          <w:b/>
          <w:bCs/>
          <w:color w:val="1E3A5F"/>
          <w:sz w:val="26"/>
          <w:szCs w:val="26"/>
        </w:rPr>
        <w:t xml:space="preserve">7. Fisiopatología de la Apnea</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ρ(ARI, ODI3) = 0,034 (ortogonal a la frecuencia). ICC(1,1) = 0,69/0,74. Gradiente inverso: morfotipos severos (C5) tienen ARI más bajo (0,423 ± 0,104).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central del SAOS obstructivo.</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del Proyecto PAC (Cap04 §4.3.3): los morfotipos más severos (C5) presentan el ARI más bajo del corpus (0,423 ± 0,104), no el más alto. Los eventos con mayor carga hipóxica generan menos reactividad autonómica relativa, no más. Interpretado como agotamiento de la reserva autonómica o adaptación crónica.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perpetuando la inestabilidad respiratoria.</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K-means sobre PCA de 84.248 curvas de 30 puntos normalizados. C1–C3: eventos breves/superficiales. C4: severo con recuperación lenta. C5: el más severo, caída profunda y prolongada. C4+C5 = 6,1% del corpus pero concentran la carga hipóxica desproporcionadamente.</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basado en 10 features escalares morfológicas (no sobre la curva). Complementa al sistema C1–C5 con mayor interpretabilidad de las features individuales.</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causadas por factores como postura, consumo de alcohol, estado de fatiga o fase del ciclo menstrual. En el Proyecto PAC, esta variabilidad se trata como información (no como ruido) y justifica el análisis longitudinal multinoche.</w:t>
      </w:r>
    </w:p>
    <w:p>
      <w:pPr>
        <w:pBdr>
          <w:bottom w:val="single" w:color="D0D8E4" w:sz="4"/>
        </w:pBdr>
        <w:spacing w:after="120" w:before="400"/>
      </w:pPr>
      <w:r>
        <w:rPr>
          <w:rFonts w:ascii="Arial" w:cs="Arial" w:eastAsia="Arial" w:hAnsi="Arial"/>
          <w:b/>
          <w:bCs/>
          <w:color w:val="1E3A5F"/>
          <w:sz w:val="26"/>
          <w:szCs w:val="26"/>
        </w:rPr>
        <w:t xml:space="preserve">8. Análisis de Series Temporales Fisiológicas</w:t>
      </w:r>
    </w:p>
    <w:p>
      <w:pPr>
        <w:spacing w:after="40" w:before="160"/>
      </w:pPr>
      <w:r>
        <w:rPr>
          <w:rFonts w:ascii="Arial" w:cs="Arial" w:eastAsia="Arial" w:hAnsi="Arial"/>
          <w:b/>
          <w:bCs/>
          <w:color w:val="2E75B6"/>
          <w:sz w:val="22"/>
          <w:szCs w:val="22"/>
        </w:rPr>
        <w:t xml:space="preserve">Acoplamiento (morfotipo–estado)</w:t>
      </w:r>
    </w:p>
    <w:p>
      <w:pPr>
        <w:spacing w:after="100" w:before="0"/>
        <w:ind w:left="360"/>
      </w:pPr>
      <w:r>
        <w:rPr>
          <w:rFonts w:ascii="Arial" w:cs="Arial" w:eastAsia="Arial" w:hAnsi="Arial"/>
          <w:sz w:val="20"/>
          <w:szCs w:val="20"/>
        </w:rPr>
        <w:t xml:space="preserve">Relación entre el estado PAC activo en el momento de ocurrencia de un EDO y la morfología de ese evento. El Proyecto PAC cuantifica si ciertos estados concentran morfotipos severos de forma no aleatoria (V de Cramér: S=0,356 / M=0,231 / L=0,196).</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El pipeline Silver del Proyecto PAC detecta y marca artefactos mediante rangos fisiológicos y umbrales de cobertura.</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del pipeline PAC_v3 (capa Silver)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(EDOs). El pipeline PAC_v3 usa: caída ≥ 2 pp respecto al baseline local, duración ≥ 10 s, recuperación al 90% del baseline.</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Define tres arquetipos de trayectoria nocturna: A (estable-protector, 50%), B (carga intermedia, 35%), C (carga hipóxica alta, 15%).</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son no estacionarias: varían con los ciclos de sueño, los eventos respiratorios y las fluctuaciones autonómicas. Requiere métodos adaptativos (p. ej., baseline móvil) en lugar de estadísticos globales.</w:t>
      </w:r>
    </w:p>
    <w:p>
      <w:pPr>
        <w:spacing w:after="40" w:before="160"/>
      </w:pPr>
      <w:r>
        <w:rPr>
          <w:rFonts w:ascii="Arial" w:cs="Arial" w:eastAsia="Arial" w:hAnsi="Arial"/>
          <w:b/>
          <w:bCs/>
          <w:color w:val="2E75B6"/>
          <w:sz w:val="22"/>
          <w:szCs w:val="22"/>
        </w:rPr>
        <w:t xml:space="preserve">PAC States</w:t>
      </w:r>
    </w:p>
    <w:p>
      <w:pPr>
        <w:spacing w:after="100" w:before="0"/>
        <w:ind w:left="360"/>
      </w:pPr>
      <w:r>
        <w:rPr>
          <w:rFonts w:ascii="Arial" w:cs="Arial" w:eastAsia="Arial" w:hAnsi="Arial"/>
          <w:sz w:val="20"/>
          <w:szCs w:val="20"/>
        </w:rPr>
        <w:t xml:space="preserve">Sistema de estados fisiológicos dinámicos a tres escalas temporales (S/M/L) resultado del análisis de nivel noche. Cada estado captura una configuración recurrente del espacio de features multiescala. Los estados especializan su función: S4→frecuencia (AHI), M1→carga hipóxica (T90), S5→reactividad (ARI), L0→arquitectura global.</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crece con la escala temporal.</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(K=3): Estable-Protector, Carga Intermedia y Carga Hipóxica Alta. El fenotipo CHA puede aparecer en subgrupos de SAOS moderado.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Anexo B — Glosario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2026-05-29T10:53:05.333Z</dcterms:created>
  <dcterms:modified xsi:type="dcterms:W3CDTF">2026-05-29T10:53:05.334Z</dcterms:modified>
</cp:coreProperties>
</file>

<file path=docProps/custom.xml><?xml version="1.0" encoding="utf-8"?>
<Properties xmlns="http://schemas.openxmlformats.org/officeDocument/2006/custom-properties" xmlns:vt="http://schemas.openxmlformats.org/officeDocument/2006/docPropsVTypes"/>
</file>