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6B7280"/>
          <w:sz w:val="20"/>
          <w:szCs w:val="20"/>
        </w:rPr>
        <w:t xml:space="preserve">ANEXO B</w:t>
      </w:r>
    </w:p>
    <w:p>
      <w:r>
        <w:rPr>
          <w:rFonts w:ascii="Arial" w:cs="Arial" w:eastAsia="Arial" w:hAnsi="Arial"/>
          <w:b/>
          <w:bCs/>
          <w:color w:val="1E3A5F"/>
          <w:sz w:val="36"/>
          <w:szCs w:val="36"/>
        </w:rPr>
        <w:t xml:space="preserve">Glosario de Términos</w:t>
      </w:r>
    </w:p>
    <w:p>
      <w:pPr>
        <w:spacing w:after="120"/>
      </w:pPr>
      <w:r>
        <w:rPr>
          <w:rFonts w:ascii="Arial" w:cs="Arial" w:eastAsia="Arial" w:hAnsi="Arial"/>
          <w:color w:val="6B7280"/>
          <w:sz w:val="18"/>
          <w:szCs w:val="18"/>
        </w:rPr>
        <w:t xml:space="preserve">Versión 6  ·  Mayo 2026</w:t>
      </w:r>
    </w:p>
    <w:p>
      <w:pPr>
        <w:spacing w:after="200"/>
      </w:pPr>
      <w:r>
        <w:rPr>
          <w:rFonts w:ascii="Arial" w:cs="Arial" w:eastAsia="Arial" w:hAnsi="Arial"/>
          <w:color w:val="6B7280"/>
          <w:sz w:val="21"/>
          <w:szCs w:val="21"/>
        </w:rPr>
        <w:t xml:space="preserve">Términos técnicos, acrónimos y conceptos metodológicos utilizados en la tesis, en orden alfabético. Abarca ocho dominios: estadística, matemáticas, ciencia de datos, modelos predictivos, neumología, fisiología de la respiración, fisiopatología de la apnea y análisis de series temporales fisiológicas. Las entradas con nombre español prioritario reflejan la nomenclatura utilizada en el texto de la tesis.</w:t>
      </w:r>
    </w:p>
    <w:p>
      <w:pPr>
        <w:spacing w:after="40" w:before="160"/>
      </w:pPr>
      <w:r>
        <w:rPr>
          <w:rFonts w:ascii="Arial" w:cs="Arial" w:eastAsia="Arial" w:hAnsi="Arial"/>
          <w:b/>
          <w:bCs/>
          <w:color w:val="2E75B6"/>
          <w:sz w:val="22"/>
          <w:szCs w:val="22"/>
        </w:rPr>
        <w:t xml:space="preserve">AASM (American Academy of Sleep Medicine)</w:t>
      </w:r>
    </w:p>
    <w:p>
      <w:pPr>
        <w:spacing w:after="100" w:before="0"/>
        <w:ind w:left="360"/>
      </w:pPr>
      <w:r>
        <w:rPr>
          <w:rFonts w:ascii="Arial" w:cs="Arial" w:eastAsia="Arial" w:hAnsi="Arial"/>
          <w:sz w:val="20"/>
          <w:szCs w:val="20"/>
        </w:rPr>
        <w:t xml:space="preserve">Organismo que establece los criterios de puntuación de eventos respiratorios durante el sueño (Berry et al., 2012). El Proyecto PAC utiliza estos criterios como referencia para la definición operacional de los EDOs, adaptándolos a oximetría domiciliaria.</w:t>
      </w:r>
    </w:p>
    <w:p>
      <w:pPr>
        <w:spacing w:after="40" w:before="160"/>
      </w:pPr>
      <w:r>
        <w:rPr>
          <w:rFonts w:ascii="Arial" w:cs="Arial" w:eastAsia="Arial" w:hAnsi="Arial"/>
          <w:b/>
          <w:bCs/>
          <w:color w:val="2E75B6"/>
          <w:sz w:val="22"/>
          <w:szCs w:val="22"/>
        </w:rPr>
        <w:t xml:space="preserve">Agrupamiento de trayectorias nocturnas</w:t>
      </w:r>
    </w:p>
    <w:p>
      <w:pPr>
        <w:spacing w:after="100" w:before="0"/>
        <w:ind w:left="360"/>
      </w:pPr>
      <w:r>
        <w:rPr>
          <w:rFonts w:ascii="Arial" w:cs="Arial" w:eastAsia="Arial" w:hAnsi="Arial"/>
          <w:sz w:val="20"/>
          <w:szCs w:val="20"/>
        </w:rPr>
        <w:t xml:space="preserve">Clustering (K=3) aplicado sobre el vector de features nocturnas PAC para identificar fenotipos de trayectoria a nivel paciente-noche. Produce tres arquetipos: Estable-Protector (50%), Carga Intermedia (35%) y Carga Hipóxica Alta (15%). El fenotipo CHA puede aparecer en subgrupos de SAOS moderado.</w:t>
      </w:r>
    </w:p>
    <w:p>
      <w:pPr>
        <w:spacing w:after="40" w:before="160"/>
      </w:pPr>
      <w:r>
        <w:rPr>
          <w:rFonts w:ascii="Arial" w:cs="Arial" w:eastAsia="Arial" w:hAnsi="Arial"/>
          <w:b/>
          <w:bCs/>
          <w:color w:val="2E75B6"/>
          <w:sz w:val="22"/>
          <w:szCs w:val="22"/>
        </w:rPr>
        <w:t xml:space="preserve">K-means (Agrupamiento K-Medias)</w:t>
      </w:r>
    </w:p>
    <w:p>
      <w:pPr>
        <w:spacing w:after="100" w:before="0"/>
        <w:ind w:left="360"/>
      </w:pPr>
      <w:r>
        <w:rPr>
          <w:rFonts w:ascii="Arial" w:cs="Arial" w:eastAsia="Arial" w:hAnsi="Arial"/>
          <w:sz w:val="20"/>
          <w:szCs w:val="20"/>
        </w:rPr>
        <w:t xml:space="preserve">Algoritmo iterativo de agrupamiento no supervisado que asigna cada observación al centroide más cercano y actualiza los centroides como media de las observaciones asignadas, minimizando la inercia total. Usado en el Proyecto PAC para morfotipos (K=5 sobre 84.248 curvas) y PAC States (K=7/5/4 por escala temporal).</w:t>
      </w:r>
    </w:p>
    <w:p>
      <w:pPr>
        <w:spacing w:after="40" w:before="160"/>
      </w:pPr>
      <w:r>
        <w:rPr>
          <w:rFonts w:ascii="Arial" w:cs="Arial" w:eastAsia="Arial" w:hAnsi="Arial"/>
          <w:b/>
          <w:bCs/>
          <w:color w:val="2E75B6"/>
          <w:sz w:val="22"/>
          <w:szCs w:val="22"/>
        </w:rPr>
        <w:t xml:space="preserve">AHI (Apnea-Hypopnea Index — Índice de Apneas-Hipopneas)</w:t>
      </w:r>
    </w:p>
    <w:p>
      <w:pPr>
        <w:spacing w:after="100" w:before="0"/>
        <w:ind w:left="360"/>
      </w:pPr>
      <w:r>
        <w:rPr>
          <w:rFonts w:ascii="Arial" w:cs="Arial" w:eastAsia="Arial" w:hAnsi="Arial"/>
          <w:sz w:val="20"/>
          <w:szCs w:val="20"/>
        </w:rPr>
        <w:t xml:space="preserve">Número de apneas e hipopneas por hora de sueño, medido mediante polisomnografía. Estándar diagnóstico de severidad del SAOS: leve (5–15), moderado (15–30), grave (&gt;30). No disponible en la cohorte del Proyecto PAC, que opera con oximetría domiciliaria sin registro de flujo aéreo.</w:t>
      </w:r>
    </w:p>
    <w:p>
      <w:pPr>
        <w:spacing w:after="40" w:before="160"/>
      </w:pPr>
      <w:r>
        <w:rPr>
          <w:rFonts w:ascii="Arial" w:cs="Arial" w:eastAsia="Arial" w:hAnsi="Arial"/>
          <w:b/>
          <w:bCs/>
          <w:color w:val="2E75B6"/>
          <w:sz w:val="22"/>
          <w:szCs w:val="22"/>
        </w:rPr>
        <w:t xml:space="preserve">Análisis de acoplamiento temporal</w:t>
      </w:r>
    </w:p>
    <w:p>
      <w:pPr>
        <w:spacing w:after="100" w:before="0"/>
        <w:ind w:left="360"/>
      </w:pPr>
      <w:r>
        <w:rPr>
          <w:rFonts w:ascii="Arial" w:cs="Arial" w:eastAsia="Arial" w:hAnsi="Arial"/>
          <w:sz w:val="20"/>
          <w:szCs w:val="20"/>
        </w:rPr>
        <w:t xml:space="preserve">Cuantificación de la relación entre el estado PAC activo en el momento de ocurrencia de un EDO y la morfología de ese evento. Evalúa si ciertos estados concentran morfotipos severos de forma no aleatoria. Métrica: V de Cramér. Resultados: S=0,356 / M=0,231 / L=0,196 (NB04, 560 noches).</w:t>
      </w:r>
    </w:p>
    <w:p>
      <w:pPr>
        <w:spacing w:after="40" w:before="160"/>
      </w:pPr>
      <w:r>
        <w:rPr>
          <w:rFonts w:ascii="Arial" w:cs="Arial" w:eastAsia="Arial" w:hAnsi="Arial"/>
          <w:b/>
          <w:bCs/>
          <w:color w:val="2E75B6"/>
          <w:sz w:val="22"/>
          <w:szCs w:val="22"/>
        </w:rPr>
        <w:t xml:space="preserve">Análisis de calibración</w:t>
      </w:r>
    </w:p>
    <w:p>
      <w:pPr>
        <w:spacing w:after="100" w:before="0"/>
        <w:ind w:left="360"/>
      </w:pPr>
      <w:r>
        <w:rPr>
          <w:rFonts w:ascii="Arial" w:cs="Arial" w:eastAsia="Arial" w:hAnsi="Arial"/>
          <w:sz w:val="20"/>
          <w:szCs w:val="20"/>
        </w:rPr>
        <w:t xml:space="preserve">Evaluación del grado en que las probabilidades predichas por un modelo se corresponden con las frecuencias observadas. LightGBM con pesos uniformes (sin scale_pos_weight) sobreestima ~4× la prevalencia real en NB08. Técnicas de corrección: Platt scaling e isotónica (Niculescu-Mizil &amp; Caruana, 2005).</w:t>
      </w:r>
    </w:p>
    <w:p>
      <w:pPr>
        <w:spacing w:after="40" w:before="160"/>
      </w:pPr>
      <w:r>
        <w:rPr>
          <w:rFonts w:ascii="Arial" w:cs="Arial" w:eastAsia="Arial" w:hAnsi="Arial"/>
          <w:b/>
          <w:bCs/>
          <w:color w:val="2E75B6"/>
          <w:sz w:val="22"/>
          <w:szCs w:val="22"/>
        </w:rPr>
        <w:t xml:space="preserve">PCA (Análisis de componentes principales)</w:t>
      </w:r>
    </w:p>
    <w:p>
      <w:pPr>
        <w:spacing w:after="100" w:before="0"/>
        <w:ind w:left="360"/>
      </w:pPr>
      <w:r>
        <w:rPr>
          <w:rFonts w:ascii="Arial" w:cs="Arial" w:eastAsia="Arial" w:hAnsi="Arial"/>
          <w:sz w:val="20"/>
          <w:szCs w:val="20"/>
        </w:rPr>
        <w:t xml:space="preserve">Técnica de reducción de dimensionalidad que transforma variables correladas en componentes ortogonales ordenadas por varianza explicada decreciente. En el fenotipado morfológico: PC1=62,9%, PC2=14,0%, PC3=7,0% sobre 84.248 curvas de 30 puntos. Actúa como paso previo al agrupamiento K-Medias.</w:t>
      </w:r>
    </w:p>
    <w:p>
      <w:pPr>
        <w:spacing w:after="40" w:before="160"/>
      </w:pPr>
      <w:r>
        <w:rPr>
          <w:rFonts w:ascii="Arial" w:cs="Arial" w:eastAsia="Arial" w:hAnsi="Arial"/>
          <w:b/>
          <w:bCs/>
          <w:color w:val="2E75B6"/>
          <w:sz w:val="22"/>
          <w:szCs w:val="22"/>
        </w:rPr>
        <w:t xml:space="preserve">Análisis de curva ROC y precisión-exhaustividad</w:t>
      </w:r>
    </w:p>
    <w:p>
      <w:pPr>
        <w:spacing w:after="100" w:before="0"/>
        <w:ind w:left="360"/>
      </w:pPr>
      <w:r>
        <w:rPr>
          <w:rFonts w:ascii="Arial" w:cs="Arial" w:eastAsia="Arial" w:hAnsi="Arial"/>
          <w:sz w:val="20"/>
          <w:szCs w:val="20"/>
        </w:rPr>
        <w:t xml:space="preserve">Dos marcos complementarios para evaluar clasificadores. La curva ROC grafica la tasa de verdaderos positivos vs. la de falsos positivos a distintos umbrales; su área es el AUC. La curva precisión-exhaustividad (PR) grafica PPV vs. sensibilidad; su área es el Average Precision (AP). AP es la métrica preferida cuando las clases están desbalanceadas (Saito &amp; Rehmsmeier, 2015). Resultados NB08: AUC=0,821, AP=0,240.</w:t>
      </w:r>
    </w:p>
    <w:p>
      <w:pPr>
        <w:spacing w:after="40" w:before="160"/>
      </w:pPr>
      <w:r>
        <w:rPr>
          <w:rFonts w:ascii="Arial" w:cs="Arial" w:eastAsia="Arial" w:hAnsi="Arial"/>
          <w:b/>
          <w:bCs/>
          <w:color w:val="2E75B6"/>
          <w:sz w:val="22"/>
          <w:szCs w:val="22"/>
        </w:rPr>
        <w:t xml:space="preserve">Silhouette score (Análisis de silueta)</w:t>
      </w:r>
    </w:p>
    <w:p>
      <w:pPr>
        <w:spacing w:after="100" w:before="0"/>
        <w:ind w:left="360"/>
      </w:pPr>
      <w:r>
        <w:rPr>
          <w:rFonts w:ascii="Arial" w:cs="Arial" w:eastAsia="Arial" w:hAnsi="Arial"/>
          <w:sz w:val="20"/>
          <w:szCs w:val="20"/>
        </w:rPr>
        <w:t xml:space="preserve">Métrica de calidad de clustering que combina cohesión intracluster y separación intercluster. Rango [−1, 1]; valores cercanos a 1 indican clusters bien definidos. En el Proyecto PAC, el fenotipado C1–C5 obtuvo silhouette = 0,386.</w:t>
      </w:r>
    </w:p>
    <w:p>
      <w:pPr>
        <w:spacing w:after="40" w:before="160"/>
      </w:pPr>
      <w:r>
        <w:rPr>
          <w:rFonts w:ascii="Arial" w:cs="Arial" w:eastAsia="Arial" w:hAnsi="Arial"/>
          <w:b/>
          <w:bCs/>
          <w:color w:val="2E75B6"/>
          <w:sz w:val="22"/>
          <w:szCs w:val="22"/>
        </w:rPr>
        <w:t xml:space="preserve">Análisis multiescala</w:t>
      </w:r>
    </w:p>
    <w:p>
      <w:pPr>
        <w:spacing w:after="100" w:before="0"/>
        <w:ind w:left="360"/>
      </w:pPr>
      <w:r>
        <w:rPr>
          <w:rFonts w:ascii="Arial" w:cs="Arial" w:eastAsia="Arial" w:hAnsi="Arial"/>
          <w:sz w:val="20"/>
          <w:szCs w:val="20"/>
        </w:rPr>
        <w:t xml:space="preserve">Marco que analiza simultáneamente una señal fisiológica a múltiples resoluciones temporales para capturar patrones que operan en distintas escalas. El Proyecto PAC define tres escalas: S=30 s (microdinámica), M=5 min (regulación intermedia), L=30 min (arquitectura global).</w:t>
      </w:r>
    </w:p>
    <w:p>
      <w:pPr>
        <w:spacing w:after="40" w:before="160"/>
      </w:pPr>
      <w:r>
        <w:rPr>
          <w:rFonts w:ascii="Arial" w:cs="Arial" w:eastAsia="Arial" w:hAnsi="Arial"/>
          <w:b/>
          <w:bCs/>
          <w:color w:val="2E75B6"/>
          <w:sz w:val="22"/>
          <w:szCs w:val="22"/>
        </w:rPr>
        <w:t xml:space="preserve">ANMAT (Administración Nacional de Medicamentos, Alimentos y Tecnología Médica)</w:t>
      </w:r>
    </w:p>
    <w:p>
      <w:pPr>
        <w:spacing w:after="100" w:before="0"/>
        <w:ind w:left="360"/>
      </w:pPr>
      <w:r>
        <w:rPr>
          <w:rFonts w:ascii="Arial" w:cs="Arial" w:eastAsia="Arial" w:hAnsi="Arial"/>
          <w:sz w:val="20"/>
          <w:szCs w:val="20"/>
        </w:rPr>
        <w:t xml:space="preserve">Organismo regulatorio argentino equivalente a la FDA (EE.UU.) para dispositivos médicos. El SOMNI 6000 cuenta con aprobación ANMAT para su uso clínico en el contexto del Proyecto PAC.</w:t>
      </w:r>
    </w:p>
    <w:p>
      <w:pPr>
        <w:spacing w:after="40" w:before="160"/>
      </w:pPr>
      <w:r>
        <w:rPr>
          <w:rFonts w:ascii="Arial" w:cs="Arial" w:eastAsia="Arial" w:hAnsi="Arial"/>
          <w:b/>
          <w:bCs/>
          <w:color w:val="2E75B6"/>
          <w:sz w:val="22"/>
          <w:szCs w:val="22"/>
        </w:rPr>
        <w:t xml:space="preserve">Apnea</w:t>
      </w:r>
    </w:p>
    <w:p>
      <w:pPr>
        <w:spacing w:after="100" w:before="0"/>
        <w:ind w:left="360"/>
      </w:pPr>
      <w:r>
        <w:rPr>
          <w:rFonts w:ascii="Arial" w:cs="Arial" w:eastAsia="Arial" w:hAnsi="Arial"/>
          <w:sz w:val="20"/>
          <w:szCs w:val="20"/>
        </w:rPr>
        <w:t xml:space="preserve">Cese del flujo aéreo durante el sueño. Según su mecanismo se clasifica en: obstructiva (colapso de la vía aérea con esfuerzo ventilatorio persistente), central (ausencia de esfuerzo ventilatorio) y mixta (combinación de ambos). El SAOS se caracteriza por apneas obstructivas recurrentes. Ver también: AHI, EDO, SAOS.</w:t>
      </w:r>
    </w:p>
    <w:p>
      <w:pPr>
        <w:spacing w:after="40" w:before="160"/>
      </w:pPr>
      <w:r>
        <w:rPr>
          <w:rFonts w:ascii="Arial" w:cs="Arial" w:eastAsia="Arial" w:hAnsi="Arial"/>
          <w:b/>
          <w:bCs/>
          <w:color w:val="2E75B6"/>
          <w:sz w:val="22"/>
          <w:szCs w:val="22"/>
        </w:rPr>
        <w:t xml:space="preserve">Apnea obstructiva</w:t>
      </w:r>
    </w:p>
    <w:p>
      <w:pPr>
        <w:spacing w:after="100" w:before="0"/>
        <w:ind w:left="360"/>
      </w:pPr>
      <w:r>
        <w:rPr>
          <w:rFonts w:ascii="Arial" w:cs="Arial" w:eastAsia="Arial" w:hAnsi="Arial"/>
          <w:sz w:val="20"/>
          <w:szCs w:val="20"/>
        </w:rPr>
        <w:t xml:space="preserve">Cese completo (≥ 10 s) del flujo aéreo con persistencia del esfuerzo ventilatorio, causado por el colapso de la vía aérea superior durante el sueño. Principal evento patológico registrado en pacientes con SAOS.</w:t>
      </w:r>
    </w:p>
    <w:p>
      <w:pPr>
        <w:spacing w:after="40" w:before="160"/>
      </w:pPr>
      <w:r>
        <w:rPr>
          <w:rFonts w:ascii="Arial" w:cs="Arial" w:eastAsia="Arial" w:hAnsi="Arial"/>
          <w:b/>
          <w:bCs/>
          <w:color w:val="2E75B6"/>
          <w:sz w:val="22"/>
          <w:szCs w:val="22"/>
        </w:rPr>
        <w:t xml:space="preserve">Área bajo la curva (integral)</w:t>
      </w:r>
    </w:p>
    <w:p>
      <w:pPr>
        <w:spacing w:after="100" w:before="0"/>
        <w:ind w:left="360"/>
      </w:pPr>
      <w:r>
        <w:rPr>
          <w:rFonts w:ascii="Arial" w:cs="Arial" w:eastAsia="Arial" w:hAnsi="Arial"/>
          <w:sz w:val="20"/>
          <w:szCs w:val="20"/>
        </w:rPr>
        <w:t xml:space="preserve">En el contexto del Proyecto PAC, el área bajo la curva de SpO₂ durante un evento cuantifica la carga hipóxica acumulada (hypoxic burden). Se calcula como la integral discreta de la diferencia entre el baseline local y la SpO₂ observada a lo largo de la duración del evento.</w:t>
      </w:r>
    </w:p>
    <w:p>
      <w:pPr>
        <w:spacing w:after="40" w:before="160"/>
      </w:pPr>
      <w:r>
        <w:rPr>
          <w:rFonts w:ascii="Arial" w:cs="Arial" w:eastAsia="Arial" w:hAnsi="Arial"/>
          <w:b/>
          <w:bCs/>
          <w:color w:val="2E75B6"/>
          <w:sz w:val="22"/>
          <w:szCs w:val="22"/>
        </w:rPr>
        <w:t xml:space="preserve">ARI (Índice de Reactividad Autonómica)</w:t>
      </w:r>
    </w:p>
    <w:p>
      <w:pPr>
        <w:spacing w:after="100" w:before="0"/>
        <w:ind w:left="360"/>
      </w:pPr>
      <w:r>
        <w:rPr>
          <w:rFonts w:ascii="Arial" w:cs="Arial" w:eastAsia="Arial" w:hAnsi="Arial"/>
          <w:sz w:val="20"/>
          <w:szCs w:val="20"/>
        </w:rPr>
        <w:t xml:space="preserve">Índice adimensional por evento que cuantifica la respuesta autonómica cardíaca y motora por unidad de estímulo hipóxico. Fórmula: ARIᵢ = 0,6 · P(hr_gainᵢ) + 0,4 · P(mov_gainᵢ), donde P(·) es el rango percentil dentro del corpus completo (85.277 EDOs). ρ(ARI, ODI3) = 0,034 (ortogonal). ICC(1,1) = 0,69/0,74.</w:t>
      </w:r>
    </w:p>
    <w:p>
      <w:pPr>
        <w:spacing w:after="40" w:before="160"/>
      </w:pPr>
      <w:r>
        <w:rPr>
          <w:rFonts w:ascii="Arial" w:cs="Arial" w:eastAsia="Arial" w:hAnsi="Arial"/>
          <w:b/>
          <w:bCs/>
          <w:color w:val="2E75B6"/>
          <w:sz w:val="22"/>
          <w:szCs w:val="22"/>
        </w:rPr>
        <w:t xml:space="preserve">Arousal / Microdespertar</w:t>
      </w:r>
    </w:p>
    <w:p>
      <w:pPr>
        <w:spacing w:after="100" w:before="0"/>
        <w:ind w:left="360"/>
      </w:pPr>
      <w:r>
        <w:rPr>
          <w:rFonts w:ascii="Arial" w:cs="Arial" w:eastAsia="Arial" w:hAnsi="Arial"/>
          <w:sz w:val="20"/>
          <w:szCs w:val="20"/>
        </w:rPr>
        <w:t xml:space="preserve">Activación electroencefalográfica transitoria (≥ 3 s) que interrumpe el sueño sin llegar a despertar completo. Los arousals restauran el tono muscular faríngeo terminando la apnea, pero fragmentan el sueño y generan activación autonómica. Detectable en PSG; no directamente en oximetría domiciliaria.</w:t>
      </w:r>
    </w:p>
    <w:p>
      <w:pPr>
        <w:spacing w:after="40" w:before="160"/>
      </w:pPr>
      <w:r>
        <w:rPr>
          <w:rFonts w:ascii="Arial" w:cs="Arial" w:eastAsia="Arial" w:hAnsi="Arial"/>
          <w:b/>
          <w:bCs/>
          <w:color w:val="2E75B6"/>
          <w:sz w:val="22"/>
          <w:szCs w:val="22"/>
        </w:rPr>
        <w:t xml:space="preserve">Arquitectura Medallion</w:t>
      </w:r>
    </w:p>
    <w:p>
      <w:pPr>
        <w:spacing w:after="100" w:before="0"/>
        <w:ind w:left="360"/>
      </w:pPr>
      <w:r>
        <w:rPr>
          <w:rFonts w:ascii="Arial" w:cs="Arial" w:eastAsia="Arial" w:hAnsi="Arial"/>
          <w:sz w:val="20"/>
          <w:szCs w:val="20"/>
        </w:rPr>
        <w:t xml:space="preserve">Patrón de diseño de pipelines de datos organizado en capas de calidad creciente: Bronze (datos crudos), Silver (datos validados), Events (eventos detectados y caracterizados) y Gold (tablas analíticas finales). Adoptado por el pipeline PAC_v3.</w:t>
      </w:r>
    </w:p>
    <w:p>
      <w:pPr>
        <w:spacing w:after="40" w:before="160"/>
      </w:pPr>
      <w:r>
        <w:rPr>
          <w:rFonts w:ascii="Arial" w:cs="Arial" w:eastAsia="Arial" w:hAnsi="Arial"/>
          <w:b/>
          <w:bCs/>
          <w:color w:val="2E75B6"/>
          <w:sz w:val="22"/>
          <w:szCs w:val="22"/>
        </w:rPr>
        <w:t xml:space="preserve">Artefacto de señal</w:t>
      </w:r>
    </w:p>
    <w:p>
      <w:pPr>
        <w:spacing w:after="100" w:before="0"/>
        <w:ind w:left="360"/>
      </w:pPr>
      <w:r>
        <w:rPr>
          <w:rFonts w:ascii="Arial" w:cs="Arial" w:eastAsia="Arial" w:hAnsi="Arial"/>
          <w:sz w:val="20"/>
          <w:szCs w:val="20"/>
        </w:rPr>
        <w:t xml:space="preserve">Perturbación en la señal no debida al fenómeno fisiológico de interés, sino a factores externos (movimiento del sensor, desconexión, interferencia eléctrica). La capa Silver del pipeline PAC_v3 detecta y marca artefactos mediante rangos fisiológicos y umbrales de cobertura.</w:t>
      </w:r>
    </w:p>
    <w:p>
      <w:pPr>
        <w:spacing w:after="40" w:before="160"/>
      </w:pPr>
      <w:r>
        <w:rPr>
          <w:rFonts w:ascii="Arial" w:cs="Arial" w:eastAsia="Arial" w:hAnsi="Arial"/>
          <w:b/>
          <w:bCs/>
          <w:color w:val="2E75B6"/>
          <w:sz w:val="22"/>
          <w:szCs w:val="22"/>
        </w:rPr>
        <w:t xml:space="preserve">AUC (Area Under the Curve — Área bajo la curva ROC)</w:t>
      </w:r>
    </w:p>
    <w:p>
      <w:pPr>
        <w:spacing w:after="100" w:before="0"/>
        <w:ind w:left="360"/>
      </w:pPr>
      <w:r>
        <w:rPr>
          <w:rFonts w:ascii="Arial" w:cs="Arial" w:eastAsia="Arial" w:hAnsi="Arial"/>
          <w:sz w:val="20"/>
          <w:szCs w:val="20"/>
        </w:rPr>
        <w:t xml:space="preserve">Mide la capacidad discriminativa de un clasificador independientemente del umbral elegido. AUC = 0,5: clasificación aleatoria; AUC = 1,0: discriminación perfecta. En el Proyecto PAC: NB07 Bloque C = 0,905; NB08 H=5 min = 0,821. Ver también: Análisis de curva ROC y precisión-exhaustividad.</w:t>
      </w:r>
    </w:p>
    <w:p>
      <w:pPr>
        <w:spacing w:after="40" w:before="160"/>
      </w:pPr>
      <w:r>
        <w:rPr>
          <w:rFonts w:ascii="Arial" w:cs="Arial" w:eastAsia="Arial" w:hAnsi="Arial"/>
          <w:b/>
          <w:bCs/>
          <w:color w:val="2E75B6"/>
          <w:sz w:val="22"/>
          <w:szCs w:val="22"/>
        </w:rPr>
        <w:t xml:space="preserve">Average Precision / Precisión promedio (AP)</w:t>
      </w:r>
    </w:p>
    <w:p>
      <w:pPr>
        <w:spacing w:after="100" w:before="0"/>
        <w:ind w:left="360"/>
      </w:pPr>
      <w:r>
        <w:rPr>
          <w:rFonts w:ascii="Arial" w:cs="Arial" w:eastAsia="Arial" w:hAnsi="Arial"/>
          <w:sz w:val="20"/>
          <w:szCs w:val="20"/>
        </w:rPr>
        <w:t xml:space="preserve">Área bajo la curva Precisión-Recall (PR). Métrica preferida sobre AUC-ROC cuando las clases están desbalanceadas, ya que no incluye los verdaderos negativos en su cómputo (Saito &amp; Rehmsmeier, 2015). En NB07 (evento severo): AP = 0,240 vs. baseline = 0,056. Ver también: Análisis de curva ROC y precisión-exhaustividad.</w:t>
      </w:r>
    </w:p>
    <w:p>
      <w:pPr>
        <w:spacing w:after="40" w:before="160"/>
      </w:pPr>
      <w:r>
        <w:rPr>
          <w:rFonts w:ascii="Arial" w:cs="Arial" w:eastAsia="Arial" w:hAnsi="Arial"/>
          <w:b/>
          <w:bCs/>
          <w:color w:val="2E75B6"/>
          <w:sz w:val="22"/>
          <w:szCs w:val="22"/>
        </w:rPr>
        <w:t xml:space="preserve">Balanced accuracy — Exactitud balanceada</w:t>
      </w:r>
    </w:p>
    <w:p>
      <w:pPr>
        <w:spacing w:after="100" w:before="0"/>
        <w:ind w:left="360"/>
      </w:pPr>
      <w:r>
        <w:rPr>
          <w:rFonts w:ascii="Arial" w:cs="Arial" w:eastAsia="Arial" w:hAnsi="Arial"/>
          <w:sz w:val="20"/>
          <w:szCs w:val="20"/>
        </w:rPr>
        <w:t xml:space="preserve">Media de la sensibilidad y la especificidad. Métrica adecuada para datasets desbalanceados. Utilizada en los análisis de ablación del Proyecto PAC (NB06).</w:t>
      </w:r>
    </w:p>
    <w:p>
      <w:pPr>
        <w:spacing w:after="40" w:before="160"/>
      </w:pPr>
      <w:r>
        <w:rPr>
          <w:rFonts w:ascii="Arial" w:cs="Arial" w:eastAsia="Arial" w:hAnsi="Arial"/>
          <w:b/>
          <w:bCs/>
          <w:color w:val="2E75B6"/>
          <w:sz w:val="22"/>
          <w:szCs w:val="22"/>
        </w:rPr>
        <w:t xml:space="preserve">Baseline local (línea de base local)</w:t>
      </w:r>
    </w:p>
    <w:p>
      <w:pPr>
        <w:spacing w:after="100" w:before="0"/>
        <w:ind w:left="360"/>
      </w:pPr>
      <w:r>
        <w:rPr>
          <w:rFonts w:ascii="Arial" w:cs="Arial" w:eastAsia="Arial" w:hAnsi="Arial"/>
          <w:sz w:val="20"/>
          <w:szCs w:val="20"/>
        </w:rPr>
        <w:t xml:space="preserve">Valor de referencia calculado como la mediana deslizante de la SpO₂ en una ventana de 120 s previos al punto de análisis. Permite definir la caída relativa de cada EDO independientemente del nivel basal individual del paciente.</w:t>
      </w:r>
    </w:p>
    <w:p>
      <w:pPr>
        <w:spacing w:after="40" w:before="160"/>
      </w:pPr>
      <w:r>
        <w:rPr>
          <w:rFonts w:ascii="Arial" w:cs="Arial" w:eastAsia="Arial" w:hAnsi="Arial"/>
          <w:b/>
          <w:bCs/>
          <w:color w:val="2E75B6"/>
          <w:sz w:val="22"/>
          <w:szCs w:val="22"/>
        </w:rPr>
        <w:t xml:space="preserve">Bland-Altman, análisis de</w:t>
      </w:r>
    </w:p>
    <w:p>
      <w:pPr>
        <w:spacing w:after="100" w:before="0"/>
        <w:ind w:left="360"/>
      </w:pPr>
      <w:r>
        <w:rPr>
          <w:rFonts w:ascii="Arial" w:cs="Arial" w:eastAsia="Arial" w:hAnsi="Arial"/>
          <w:sz w:val="20"/>
          <w:szCs w:val="20"/>
        </w:rPr>
        <w:t xml:space="preserve">Método gráfico para evaluar la concordancia entre dos métodos de medición. Representa la diferencia entre mediciones (eje Y) frente a su media (eje X). Utilizado en el Proyecto PAC para comparar índices derivados del pipeline con valores de referencia clínicos.</w:t>
      </w:r>
    </w:p>
    <w:p>
      <w:pPr>
        <w:spacing w:after="40" w:before="160"/>
      </w:pPr>
      <w:r>
        <w:rPr>
          <w:rFonts w:ascii="Arial" w:cs="Arial" w:eastAsia="Arial" w:hAnsi="Arial"/>
          <w:b/>
          <w:bCs/>
          <w:color w:val="2E75B6"/>
          <w:sz w:val="22"/>
          <w:szCs w:val="22"/>
        </w:rPr>
        <w:t xml:space="preserve">Bootstrap e intervalos de confianza</w:t>
      </w:r>
    </w:p>
    <w:p>
      <w:pPr>
        <w:spacing w:after="100" w:before="0"/>
        <w:ind w:left="360"/>
      </w:pPr>
      <w:r>
        <w:rPr>
          <w:rFonts w:ascii="Arial" w:cs="Arial" w:eastAsia="Arial" w:hAnsi="Arial"/>
          <w:sz w:val="20"/>
          <w:szCs w:val="20"/>
        </w:rPr>
        <w:t xml:space="preserve">El bootstrap es una técnica de remuestreo con reposición para estimar la distribución de un estadístico cuando la distribución teórica no es conocida. Permite calcular intervalos de confianza empíricos: rango de valores que contiene el parámetro verdadero con una probabilidad dada (p. ej., 95%). En el Proyecto PAC se emplea para estimar el ICC(1,1) a nivel de paciente (300 iteraciones).</w:t>
      </w:r>
    </w:p>
    <w:p>
      <w:pPr>
        <w:spacing w:after="40" w:before="160"/>
      </w:pPr>
      <w:r>
        <w:rPr>
          <w:rFonts w:ascii="Arial" w:cs="Arial" w:eastAsia="Arial" w:hAnsi="Arial"/>
          <w:b/>
          <w:bCs/>
          <w:color w:val="2E75B6"/>
          <w:sz w:val="22"/>
          <w:szCs w:val="22"/>
        </w:rPr>
        <w:t xml:space="preserve">Random Forest (Bosque aleatorio)</w:t>
      </w:r>
    </w:p>
    <w:p>
      <w:pPr>
        <w:spacing w:after="100" w:before="0"/>
        <w:ind w:left="360"/>
      </w:pPr>
      <w:r>
        <w:rPr>
          <w:rFonts w:ascii="Arial" w:cs="Arial" w:eastAsia="Arial" w:hAnsi="Arial"/>
          <w:sz w:val="20"/>
          <w:szCs w:val="20"/>
        </w:rPr>
        <w:t xml:space="preserve">Ensemble de árboles de decisión entrenados sobre submuestras aleatorias del conjunto de entrenamiento y subconjuntos aleatorios de features (bagging + feature randomness). Reduce la varianza respecto a un único árbol. Modelo de comparación en el Proyecto PAC: NB07 Bloque C AUC = 0,783.</w:t>
      </w:r>
    </w:p>
    <w:p>
      <w:pPr>
        <w:spacing w:after="40" w:before="160"/>
      </w:pPr>
      <w:r>
        <w:rPr>
          <w:rFonts w:ascii="Arial" w:cs="Arial" w:eastAsia="Arial" w:hAnsi="Arial"/>
          <w:b/>
          <w:bCs/>
          <w:color w:val="2E75B6"/>
          <w:sz w:val="22"/>
          <w:szCs w:val="22"/>
        </w:rPr>
        <w:t xml:space="preserve">Cadenas de Markov discretas</w:t>
      </w:r>
    </w:p>
    <w:p>
      <w:pPr>
        <w:spacing w:after="100" w:before="0"/>
        <w:ind w:left="360"/>
      </w:pPr>
      <w:r>
        <w:rPr>
          <w:rFonts w:ascii="Arial" w:cs="Arial" w:eastAsia="Arial" w:hAnsi="Arial"/>
          <w:sz w:val="20"/>
          <w:szCs w:val="20"/>
        </w:rPr>
        <w:t xml:space="preserve">Modelo probabilístico en el que la probabilidad de transitar al próximo estado depende únicamente del estado actual (propiedad de Markov o sin memoria). En el Proyecto PAC modela las transiciones entre PAC States: 462.519 transiciones en escala S, 45.900 en M y 7.196 en L. La matriz de transición se estima empíricamente sobre los datos observados.</w:t>
      </w:r>
    </w:p>
    <w:p>
      <w:pPr>
        <w:spacing w:after="40" w:before="160"/>
      </w:pPr>
      <w:r>
        <w:rPr>
          <w:rFonts w:ascii="Arial" w:cs="Arial" w:eastAsia="Arial" w:hAnsi="Arial"/>
          <w:b/>
          <w:bCs/>
          <w:color w:val="2E75B6"/>
          <w:sz w:val="22"/>
          <w:szCs w:val="22"/>
        </w:rPr>
        <w:t xml:space="preserve">Capas del pipeline PAC_v3 (Bronze, Silver, Events, Gold)</w:t>
      </w:r>
    </w:p>
    <w:p>
      <w:pPr>
        <w:spacing w:after="100" w:before="0"/>
        <w:ind w:left="360"/>
      </w:pPr>
      <w:r>
        <w:rPr>
          <w:rFonts w:ascii="Arial" w:cs="Arial" w:eastAsia="Arial" w:hAnsi="Arial"/>
          <w:sz w:val="20"/>
          <w:szCs w:val="20"/>
        </w:rPr>
        <w:t xml:space="preserve">Cuatro zonas de procesamiento de la arquitectura Medallion del pipeline PAC_v3. Bronze: señales canónicas crudas por noche. Silver: señales con control de calidad y flags QC. Events: 85.277 EDOs con 25+ features y ARI. Gold: cinco tablas analíticas finales (events, events_curves, states, nights, patients).</w:t>
      </w:r>
    </w:p>
    <w:p>
      <w:pPr>
        <w:spacing w:after="40" w:before="160"/>
      </w:pPr>
      <w:r>
        <w:rPr>
          <w:rFonts w:ascii="Arial" w:cs="Arial" w:eastAsia="Arial" w:hAnsi="Arial"/>
          <w:b/>
          <w:bCs/>
          <w:color w:val="2E75B6"/>
          <w:sz w:val="22"/>
          <w:szCs w:val="22"/>
        </w:rPr>
        <w:t xml:space="preserve">Carga hipóxica (Hypoxic burden)</w:t>
      </w:r>
    </w:p>
    <w:p>
      <w:pPr>
        <w:spacing w:after="100" w:before="0"/>
        <w:ind w:left="360"/>
      </w:pPr>
      <w:r>
        <w:rPr>
          <w:rFonts w:ascii="Arial" w:cs="Arial" w:eastAsia="Arial" w:hAnsi="Arial"/>
          <w:sz w:val="20"/>
          <w:szCs w:val="20"/>
        </w:rPr>
        <w:t xml:space="preserve">Área bajo la curva de SpO₂ durante eventos respiratorios. Integra frecuencia, profundidad y duración de las desaturaciones en una única métrica. Predice mortalidad cardiovascular independientemente del AHI (Azarbarzin et al., 2019).</w:t>
      </w:r>
    </w:p>
    <w:p>
      <w:pPr>
        <w:spacing w:after="40" w:before="160"/>
      </w:pPr>
      <w:r>
        <w:rPr>
          <w:rFonts w:ascii="Arial" w:cs="Arial" w:eastAsia="Arial" w:hAnsi="Arial"/>
          <w:b/>
          <w:bCs/>
          <w:color w:val="2E75B6"/>
          <w:sz w:val="22"/>
          <w:szCs w:val="22"/>
        </w:rPr>
        <w:t xml:space="preserve">Chi-cuadrado (estadístico χ²)</w:t>
      </w:r>
    </w:p>
    <w:p>
      <w:pPr>
        <w:spacing w:after="100" w:before="0"/>
        <w:ind w:left="360"/>
      </w:pPr>
      <w:r>
        <w:rPr>
          <w:rFonts w:ascii="Arial" w:cs="Arial" w:eastAsia="Arial" w:hAnsi="Arial"/>
          <w:sz w:val="20"/>
          <w:szCs w:val="20"/>
        </w:rPr>
        <w:t xml:space="preserve">Estadístico que mide la discrepancia entre frecuencias observadas y esperadas bajo la hipótesis de independencia entre dos variables categóricas. La V de Cramér se deriva del Chi-cuadrado normalizándolo para que sea comparable entre tablas de distintos tamaños: V = √(χ²/n · min(r−1, c−1)).</w:t>
      </w:r>
    </w:p>
    <w:p>
      <w:pPr>
        <w:spacing w:after="40" w:before="160"/>
      </w:pPr>
      <w:r>
        <w:rPr>
          <w:rFonts w:ascii="Arial" w:cs="Arial" w:eastAsia="Arial" w:hAnsi="Arial"/>
          <w:b/>
          <w:bCs/>
          <w:color w:val="2E75B6"/>
          <w:sz w:val="22"/>
          <w:szCs w:val="22"/>
        </w:rPr>
        <w:t xml:space="preserve">Clasificación de riesgo nocturno (NB07 Bloque C)</w:t>
      </w:r>
    </w:p>
    <w:p>
      <w:pPr>
        <w:spacing w:after="100" w:before="0"/>
        <w:ind w:left="360"/>
      </w:pPr>
      <w:r>
        <w:rPr>
          <w:rFonts w:ascii="Arial" w:cs="Arial" w:eastAsia="Arial" w:hAnsi="Arial"/>
          <w:sz w:val="20"/>
          <w:szCs w:val="20"/>
        </w:rPr>
        <w:t xml:space="preserve">Tarea supervisada que predice la categoría de riesgo de una noche completa a partir de sus features PAC. Resultados: Regresión Logística AUC = 0,905, AP = 0,834 (baseline = 0,348). Corpus: 494 noches de 8 pacientes, validación LOPO-CV.</w:t>
      </w:r>
    </w:p>
    <w:p>
      <w:pPr>
        <w:spacing w:after="40" w:before="160"/>
      </w:pPr>
      <w:r>
        <w:rPr>
          <w:rFonts w:ascii="Arial" w:cs="Arial" w:eastAsia="Arial" w:hAnsi="Arial"/>
          <w:b/>
          <w:bCs/>
          <w:color w:val="2E75B6"/>
          <w:sz w:val="22"/>
          <w:szCs w:val="22"/>
        </w:rPr>
        <w:t xml:space="preserve">Colapso faríngeo</w:t>
      </w:r>
    </w:p>
    <w:p>
      <w:pPr>
        <w:spacing w:after="100" w:before="0"/>
        <w:ind w:left="360"/>
      </w:pPr>
      <w:r>
        <w:rPr>
          <w:rFonts w:ascii="Arial" w:cs="Arial" w:eastAsia="Arial" w:hAnsi="Arial"/>
          <w:sz w:val="20"/>
          <w:szCs w:val="20"/>
        </w:rPr>
        <w:t xml:space="preserve">Oclusión parcial o total de la vía aérea a nivel de la faringe durante el sueño, por pérdida del tono muscular de las estructuras faríngeas. Mecanismo anatómico central del SAOS obstructivo.</w:t>
      </w:r>
    </w:p>
    <w:p>
      <w:pPr>
        <w:spacing w:after="40" w:before="160"/>
      </w:pPr>
      <w:r>
        <w:rPr>
          <w:rFonts w:ascii="Arial" w:cs="Arial" w:eastAsia="Arial" w:hAnsi="Arial"/>
          <w:b/>
          <w:bCs/>
          <w:color w:val="2E75B6"/>
          <w:sz w:val="22"/>
          <w:szCs w:val="22"/>
        </w:rPr>
        <w:t xml:space="preserve">Control de calidad (QC)</w:t>
      </w:r>
    </w:p>
    <w:p>
      <w:pPr>
        <w:spacing w:after="100" w:before="0"/>
        <w:ind w:left="360"/>
      </w:pPr>
      <w:r>
        <w:rPr>
          <w:rFonts w:ascii="Arial" w:cs="Arial" w:eastAsia="Arial" w:hAnsi="Arial"/>
          <w:sz w:val="20"/>
          <w:szCs w:val="20"/>
        </w:rPr>
        <w:t xml:space="preserve">Etapa de la capa Silver del pipeline PAC_v3 que valida la señal: rango fisiológico aceptable, cobertura ≥ 90%, duración mínima. No excluye noches; marca segmentos con flags QC y propaga esa información a la capa Gold.</w:t>
      </w:r>
    </w:p>
    <w:p>
      <w:pPr>
        <w:spacing w:after="40" w:before="160"/>
      </w:pPr>
      <w:r>
        <w:rPr>
          <w:rFonts w:ascii="Arial" w:cs="Arial" w:eastAsia="Arial" w:hAnsi="Arial"/>
          <w:b/>
          <w:bCs/>
          <w:color w:val="2E75B6"/>
          <w:sz w:val="22"/>
          <w:szCs w:val="22"/>
        </w:rPr>
        <w:t xml:space="preserve">Correlación de Spearman (ρ — rho)</w:t>
      </w:r>
    </w:p>
    <w:p>
      <w:pPr>
        <w:spacing w:after="100" w:before="0"/>
        <w:ind w:left="360"/>
      </w:pPr>
      <w:r>
        <w:rPr>
          <w:rFonts w:ascii="Arial" w:cs="Arial" w:eastAsia="Arial" w:hAnsi="Arial"/>
          <w:sz w:val="20"/>
          <w:szCs w:val="20"/>
        </w:rPr>
        <w:t xml:space="preserve">Coeficiente de correlación de rangos que mide la asociación monótona entre dos variables sin asumir linealidad ni distribución normal. El símbolo ρ (rho griego) distingue este coeficiente del r de Pearson. Rango [−1, 1]. Ejemplo del Proyecto PAC: ρ(ARI, ODI3) = 0,034 (prácticamente ortogonales).</w:t>
      </w:r>
    </w:p>
    <w:p>
      <w:pPr>
        <w:spacing w:after="40" w:before="160"/>
      </w:pPr>
      <w:r>
        <w:rPr>
          <w:rFonts w:ascii="Arial" w:cs="Arial" w:eastAsia="Arial" w:hAnsi="Arial"/>
          <w:b/>
          <w:bCs/>
          <w:color w:val="2E75B6"/>
          <w:sz w:val="22"/>
          <w:szCs w:val="22"/>
        </w:rPr>
        <w:t xml:space="preserve">Correlación intraclase (ICC — Intraclass Correlation Coefficient)</w:t>
      </w:r>
    </w:p>
    <w:p>
      <w:pPr>
        <w:spacing w:after="100" w:before="0"/>
        <w:ind w:left="360"/>
      </w:pPr>
      <w:r>
        <w:rPr>
          <w:rFonts w:ascii="Arial" w:cs="Arial" w:eastAsia="Arial" w:hAnsi="Arial"/>
          <w:sz w:val="20"/>
          <w:szCs w:val="20"/>
        </w:rPr>
        <w:t xml:space="preserve">Mide la consistencia de una medición entre unidades (noches, pacientes). ICC(1,1) noche-nivel del ARI = 0,69 (cohorte completa) / 0,74 (cohorte estricta), indicando un rasgo moderadamente estable del paciente. Valores &gt; 0,75: excelentes; 0,50–0,75: moderados.</w:t>
      </w:r>
    </w:p>
    <w:p>
      <w:pPr>
        <w:spacing w:after="40" w:before="160"/>
      </w:pPr>
      <w:r>
        <w:rPr>
          <w:rFonts w:ascii="Arial" w:cs="Arial" w:eastAsia="Arial" w:hAnsi="Arial"/>
          <w:b/>
          <w:bCs/>
          <w:color w:val="2E75B6"/>
          <w:sz w:val="22"/>
          <w:szCs w:val="22"/>
        </w:rPr>
        <w:t xml:space="preserve">CPAP (Continuous Positive Airway Pressure)</w:t>
      </w:r>
    </w:p>
    <w:p>
      <w:pPr>
        <w:spacing w:after="100" w:before="0"/>
        <w:ind w:left="360"/>
      </w:pPr>
      <w:r>
        <w:rPr>
          <w:rFonts w:ascii="Arial" w:cs="Arial" w:eastAsia="Arial" w:hAnsi="Arial"/>
          <w:sz w:val="20"/>
          <w:szCs w:val="20"/>
        </w:rPr>
        <w:t xml:space="preserve">Tratamiento de primera línea del SAOS moderado-grave. Aplica presión positiva continua en la vía aérea para mantenerla abierta durante el sueño, previniendo el colapso faríngeo.</w:t>
      </w:r>
    </w:p>
    <w:p>
      <w:pPr>
        <w:spacing w:after="40" w:before="160"/>
      </w:pPr>
      <w:r>
        <w:rPr>
          <w:rFonts w:ascii="Arial" w:cs="Arial" w:eastAsia="Arial" w:hAnsi="Arial"/>
          <w:b/>
          <w:bCs/>
          <w:color w:val="2E75B6"/>
          <w:sz w:val="22"/>
          <w:szCs w:val="22"/>
        </w:rPr>
        <w:t xml:space="preserve">Desaturación de oxígeno</w:t>
      </w:r>
    </w:p>
    <w:p>
      <w:pPr>
        <w:spacing w:after="100" w:before="0"/>
        <w:ind w:left="360"/>
      </w:pPr>
      <w:r>
        <w:rPr>
          <w:rFonts w:ascii="Arial" w:cs="Arial" w:eastAsia="Arial" w:hAnsi="Arial"/>
          <w:sz w:val="20"/>
          <w:szCs w:val="20"/>
        </w:rPr>
        <w:t xml:space="preserve">Caída de la saturación periférica de oxígeno (SpO₂) por debajo del valor basal o por debajo de un umbral absoluto. En el contexto clínico se define habitualmente como una caída ≥ 3 pp (ODI3) o ≥ 4 pp (ODI4). El Proyecto PAC usa un umbral permisivo de ≥ 2 pp para maximizar el corpus analítico. Ver también: EDO, ODI3, ODI4.</w:t>
      </w:r>
    </w:p>
    <w:p>
      <w:pPr>
        <w:spacing w:after="40" w:before="160"/>
      </w:pPr>
      <w:r>
        <w:rPr>
          <w:rFonts w:ascii="Arial" w:cs="Arial" w:eastAsia="Arial" w:hAnsi="Arial"/>
          <w:b/>
          <w:bCs/>
          <w:color w:val="2E75B6"/>
          <w:sz w:val="22"/>
          <w:szCs w:val="22"/>
        </w:rPr>
        <w:t xml:space="preserve">Desviación estándar (DE)</w:t>
      </w:r>
    </w:p>
    <w:p>
      <w:pPr>
        <w:spacing w:after="100" w:before="0"/>
        <w:ind w:left="360"/>
      </w:pPr>
      <w:r>
        <w:rPr>
          <w:rFonts w:ascii="Arial" w:cs="Arial" w:eastAsia="Arial" w:hAnsi="Arial"/>
          <w:sz w:val="20"/>
          <w:szCs w:val="20"/>
        </w:rPr>
        <w:t xml:space="preserve">Medida de dispersión que cuantifica la variabilidad de un conjunto de observaciones respecto a su media. Expresada en las mismas unidades que la variable original. Sensible a valores extremos, a diferencia del rango intercuartílico.</w:t>
      </w:r>
    </w:p>
    <w:p>
      <w:pPr>
        <w:spacing w:after="40" w:before="160"/>
      </w:pPr>
      <w:r>
        <w:rPr>
          <w:rFonts w:ascii="Arial" w:cs="Arial" w:eastAsia="Arial" w:hAnsi="Arial"/>
          <w:b/>
          <w:bCs/>
          <w:color w:val="2E75B6"/>
          <w:sz w:val="22"/>
          <w:szCs w:val="22"/>
        </w:rPr>
        <w:t xml:space="preserve">Detección de eventos (segmentación)</w:t>
      </w:r>
    </w:p>
    <w:p>
      <w:pPr>
        <w:spacing w:after="100" w:before="0"/>
        <w:ind w:left="360"/>
      </w:pPr>
      <w:r>
        <w:rPr>
          <w:rFonts w:ascii="Arial" w:cs="Arial" w:eastAsia="Arial" w:hAnsi="Arial"/>
          <w:sz w:val="20"/>
          <w:szCs w:val="20"/>
        </w:rPr>
        <w:t xml:space="preserve">Proceso de identificar en la serie temporal los intervalos que corresponden a eventos fisiológicamente significativos. En el pipeline PAC_v3: caída de SpO₂ ≥ 2 pp respecto al baseline local, duración ≥ 10 s, recuperación al 90% del baseline.</w:t>
      </w:r>
    </w:p>
    <w:p>
      <w:pPr>
        <w:spacing w:after="40" w:before="160"/>
      </w:pPr>
      <w:r>
        <w:rPr>
          <w:rFonts w:ascii="Arial" w:cs="Arial" w:eastAsia="Arial" w:hAnsi="Arial"/>
          <w:b/>
          <w:bCs/>
          <w:color w:val="2E75B6"/>
          <w:sz w:val="22"/>
          <w:szCs w:val="22"/>
        </w:rPr>
        <w:t xml:space="preserve">Distancia euclidea</w:t>
      </w:r>
    </w:p>
    <w:p>
      <w:pPr>
        <w:spacing w:after="100" w:before="0"/>
        <w:ind w:left="360"/>
      </w:pPr>
      <w:r>
        <w:rPr>
          <w:rFonts w:ascii="Arial" w:cs="Arial" w:eastAsia="Arial" w:hAnsi="Arial"/>
          <w:sz w:val="20"/>
          <w:szCs w:val="20"/>
        </w:rPr>
        <w:t xml:space="preserve">Distancia entre dos puntos en el espacio n-dimensional, calculada como la raíz cuadrada de la suma de los cuadrados de las diferencias coordenada a coordenada. Métrica de disimilitud utilizada por el algoritmo K-Medias en el fenotipado morfológico.</w:t>
      </w:r>
    </w:p>
    <w:p>
      <w:pPr>
        <w:spacing w:after="40" w:before="160"/>
      </w:pPr>
      <w:r>
        <w:rPr>
          <w:rFonts w:ascii="Arial" w:cs="Arial" w:eastAsia="Arial" w:hAnsi="Arial"/>
          <w:b/>
          <w:bCs/>
          <w:color w:val="2E75B6"/>
          <w:sz w:val="22"/>
          <w:szCs w:val="22"/>
        </w:rPr>
        <w:t xml:space="preserve">EDO (Evento de Desaturación de Oxígeno)</w:t>
      </w:r>
    </w:p>
    <w:p>
      <w:pPr>
        <w:spacing w:after="100" w:before="0"/>
        <w:ind w:left="360"/>
      </w:pPr>
      <w:r>
        <w:rPr>
          <w:rFonts w:ascii="Arial" w:cs="Arial" w:eastAsia="Arial" w:hAnsi="Arial"/>
          <w:sz w:val="20"/>
          <w:szCs w:val="20"/>
        </w:rPr>
        <w:t xml:space="preserve">Caída de SpO₂ ≥ 2 pp (umbral permisivo), duración ≥ 10 s, con recuperación al 90% del baseline local. Unidad fisiológica elemental del Proyecto PAC. El umbral ≥ 2 pp (vs. ≥ 3 pp del ODI3 clínico) maximiza el corpus y captura la morfología de eventos borderline. Corpus: 85.277 EDOs quality.</w:t>
      </w:r>
    </w:p>
    <w:p>
      <w:pPr>
        <w:spacing w:after="40" w:before="160"/>
      </w:pPr>
      <w:r>
        <w:rPr>
          <w:rFonts w:ascii="Arial" w:cs="Arial" w:eastAsia="Arial" w:hAnsi="Arial"/>
          <w:b/>
          <w:bCs/>
          <w:color w:val="2E75B6"/>
          <w:sz w:val="22"/>
          <w:szCs w:val="22"/>
        </w:rPr>
        <w:t xml:space="preserve">Entropía de Shannon</w:t>
      </w:r>
    </w:p>
    <w:p>
      <w:pPr>
        <w:spacing w:after="100" w:before="0"/>
        <w:ind w:left="360"/>
      </w:pPr>
      <w:r>
        <w:rPr>
          <w:rFonts w:ascii="Arial" w:cs="Arial" w:eastAsia="Arial" w:hAnsi="Arial"/>
          <w:sz w:val="20"/>
          <w:szCs w:val="20"/>
        </w:rPr>
        <w:t xml:space="preserve">Medida de la incertidumbre de una distribución de probabilidad: H = −Σ pᵢ log₂(pᵢ). En el Proyecto PAC se calcula sobre la distribución de estados en cada escala (S, M, L) como feature nocturna. Alta entropía: distribución uniforme de estados. Baja entropía: dominancia de pocos estados.</w:t>
      </w:r>
    </w:p>
    <w:p>
      <w:pPr>
        <w:spacing w:after="40" w:before="160"/>
      </w:pPr>
      <w:r>
        <w:rPr>
          <w:rFonts w:ascii="Arial" w:cs="Arial" w:eastAsia="Arial" w:hAnsi="Arial"/>
          <w:b/>
          <w:bCs/>
          <w:color w:val="2E75B6"/>
          <w:sz w:val="22"/>
          <w:szCs w:val="22"/>
        </w:rPr>
        <w:t xml:space="preserve">Escala L — Arquitectura global (30 min)</w:t>
      </w:r>
    </w:p>
    <w:p>
      <w:pPr>
        <w:spacing w:after="100" w:before="0"/>
        <w:ind w:left="360"/>
      </w:pPr>
      <w:r>
        <w:rPr>
          <w:rFonts w:ascii="Arial" w:cs="Arial" w:eastAsia="Arial" w:hAnsi="Arial"/>
          <w:sz w:val="20"/>
          <w:szCs w:val="20"/>
        </w:rPr>
        <w:t xml:space="preserve">Escala temporal más gruesa de los PAC States. K=4 estados (L0–L3). L0: hipoxemia sostenida (ρ T90 = +0,705). L3: baja carga (ρ ARI = +0,357). Capta la organización global de la noche en grandes fases fisiológicas diferenciadas.</w:t>
      </w:r>
    </w:p>
    <w:p>
      <w:pPr>
        <w:spacing w:after="40" w:before="160"/>
      </w:pPr>
      <w:r>
        <w:rPr>
          <w:rFonts w:ascii="Arial" w:cs="Arial" w:eastAsia="Arial" w:hAnsi="Arial"/>
          <w:b/>
          <w:bCs/>
          <w:color w:val="2E75B6"/>
          <w:sz w:val="22"/>
          <w:szCs w:val="22"/>
        </w:rPr>
        <w:t xml:space="preserve">Escala M — Regulación intermedia (5 min)</w:t>
      </w:r>
    </w:p>
    <w:p>
      <w:pPr>
        <w:spacing w:after="100" w:before="0"/>
        <w:ind w:left="360"/>
      </w:pPr>
      <w:r>
        <w:rPr>
          <w:rFonts w:ascii="Arial" w:cs="Arial" w:eastAsia="Arial" w:hAnsi="Arial"/>
          <w:sz w:val="20"/>
          <w:szCs w:val="20"/>
        </w:rPr>
        <w:t xml:space="preserve">Escala temporal media de los PAC States. K=5 estados (M0–M4). M1: mejor predictor de carga hipóxica (ρ T90 = +0,744). M0/M2: estados protectores. Tres arquetipos de trayectoria: A (estable-protector, 50%), B (carga intermedia, 35%), C (carga hipóxica alta, 15%).</w:t>
      </w:r>
    </w:p>
    <w:p>
      <w:pPr>
        <w:spacing w:after="40" w:before="160"/>
      </w:pPr>
      <w:r>
        <w:rPr>
          <w:rFonts w:ascii="Arial" w:cs="Arial" w:eastAsia="Arial" w:hAnsi="Arial"/>
          <w:b/>
          <w:bCs/>
          <w:color w:val="2E75B6"/>
          <w:sz w:val="22"/>
          <w:szCs w:val="22"/>
        </w:rPr>
        <w:t xml:space="preserve">Escala S — Microdinámica (30 s)</w:t>
      </w:r>
    </w:p>
    <w:p>
      <w:pPr>
        <w:spacing w:after="100" w:before="0"/>
        <w:ind w:left="360"/>
      </w:pPr>
      <w:r>
        <w:rPr>
          <w:rFonts w:ascii="Arial" w:cs="Arial" w:eastAsia="Arial" w:hAnsi="Arial"/>
          <w:sz w:val="20"/>
          <w:szCs w:val="20"/>
        </w:rPr>
        <w:t xml:space="preserve">Escala temporal más fina de los PAC States. K=7 estados (S0–S6). S1+S2 ≈ 60% del tiempo nocturno. S4: mejor predictor de frecuencia (ρ ODI3 = +0,690). S5: reactividad autonómica máxima (ρ ARI = +0,637). S6: estado más raro (~1%), excluido de la feature matrix nocturna.</w:t>
      </w:r>
    </w:p>
    <w:p>
      <w:pPr>
        <w:spacing w:after="40" w:before="160"/>
      </w:pPr>
      <w:r>
        <w:rPr>
          <w:rFonts w:ascii="Arial" w:cs="Arial" w:eastAsia="Arial" w:hAnsi="Arial"/>
          <w:b/>
          <w:bCs/>
          <w:color w:val="2E75B6"/>
          <w:sz w:val="22"/>
          <w:szCs w:val="22"/>
        </w:rPr>
        <w:t xml:space="preserve">Estados PAC (PAC States)</w:t>
      </w:r>
    </w:p>
    <w:p>
      <w:pPr>
        <w:spacing w:after="100" w:before="0"/>
        <w:ind w:left="360"/>
      </w:pPr>
      <w:r>
        <w:rPr>
          <w:rFonts w:ascii="Arial" w:cs="Arial" w:eastAsia="Arial" w:hAnsi="Arial"/>
          <w:sz w:val="20"/>
          <w:szCs w:val="20"/>
        </w:rPr>
        <w:t xml:space="preserve">Sistema de estados fisiológicos dinámicos a tres escalas temporales (S=30 s, M=5 min, L=30 min), resultado central del análisis de nivel noche del Proyecto PAC. Cada estado captura una configuración recurrente del espacio de features multiescala. Especialización: S4→frecuencia (AHI), M1→carga hipóxica (T90), S5→reactividad (ARI), L0→arquitectura global.</w:t>
      </w:r>
    </w:p>
    <w:p>
      <w:pPr>
        <w:spacing w:after="40" w:before="160"/>
      </w:pPr>
      <w:r>
        <w:rPr>
          <w:rFonts w:ascii="Arial" w:cs="Arial" w:eastAsia="Arial" w:hAnsi="Arial"/>
          <w:b/>
          <w:bCs/>
          <w:color w:val="2E75B6"/>
          <w:sz w:val="22"/>
          <w:szCs w:val="22"/>
        </w:rPr>
        <w:t xml:space="preserve">Estudio de ablación</w:t>
      </w:r>
    </w:p>
    <w:p>
      <w:pPr>
        <w:spacing w:after="100" w:before="0"/>
        <w:ind w:left="360"/>
      </w:pPr>
      <w:r>
        <w:rPr>
          <w:rFonts w:ascii="Arial" w:cs="Arial" w:eastAsia="Arial" w:hAnsi="Arial"/>
          <w:sz w:val="20"/>
          <w:szCs w:val="20"/>
        </w:rPr>
        <w:t xml:space="preserve">Experimento que evalúa la contribución de cada componente de un modelo eliminándolo sistemáticamente y midiendo la caída en rendimiento. En el Proyecto PAC (NB06), la ablación por bloques muestra que los PAC States explican el 44,75% del rendimiento, los morfotipos el 20,2%, la dinámica Markoviana el 14,7% y el ARI solo el 3,4%.</w:t>
      </w:r>
    </w:p>
    <w:p>
      <w:pPr>
        <w:spacing w:after="40" w:before="160"/>
      </w:pPr>
      <w:r>
        <w:rPr>
          <w:rFonts w:ascii="Arial" w:cs="Arial" w:eastAsia="Arial" w:hAnsi="Arial"/>
          <w:b/>
          <w:bCs/>
          <w:color w:val="2E75B6"/>
          <w:sz w:val="22"/>
          <w:szCs w:val="22"/>
        </w:rPr>
        <w:t xml:space="preserve">Feature engineering — Ingeniería de features</w:t>
      </w:r>
    </w:p>
    <w:p>
      <w:pPr>
        <w:spacing w:after="100" w:before="0"/>
        <w:ind w:left="360"/>
      </w:pPr>
      <w:r>
        <w:rPr>
          <w:rFonts w:ascii="Arial" w:cs="Arial" w:eastAsia="Arial" w:hAnsi="Arial"/>
          <w:sz w:val="20"/>
          <w:szCs w:val="20"/>
        </w:rPr>
        <w:t xml:space="preserve">Proceso de construir variables informativas a partir de datos crudos, aplicando transformaciones, agregaciones o conocimiento del dominio. En el Proyecto PAC: 25+ features geométricas por EDO y 146 features nocturnas son producto de feature engineering sobre SpO₂, FC y MOV.</w:t>
      </w:r>
    </w:p>
    <w:p>
      <w:pPr>
        <w:spacing w:after="40" w:before="160"/>
      </w:pPr>
      <w:r>
        <w:rPr>
          <w:rFonts w:ascii="Arial" w:cs="Arial" w:eastAsia="Arial" w:hAnsi="Arial"/>
          <w:b/>
          <w:bCs/>
          <w:color w:val="2E75B6"/>
          <w:sz w:val="22"/>
          <w:szCs w:val="22"/>
        </w:rPr>
        <w:t xml:space="preserve">Feature importance — Importancia de features</w:t>
      </w:r>
    </w:p>
    <w:p>
      <w:pPr>
        <w:spacing w:after="100" w:before="0"/>
        <w:ind w:left="360"/>
      </w:pPr>
      <w:r>
        <w:rPr>
          <w:rFonts w:ascii="Arial" w:cs="Arial" w:eastAsia="Arial" w:hAnsi="Arial"/>
          <w:sz w:val="20"/>
          <w:szCs w:val="20"/>
        </w:rPr>
        <w:t xml:space="preserve">Medida del aporte de cada variable al rendimiento de un modelo predictivo. En el Proyecto PAC se evalúa mediante SHAP por instancia y mediante estudio de ablación por bloques (NB06).</w:t>
      </w:r>
    </w:p>
    <w:p>
      <w:pPr>
        <w:spacing w:after="40" w:before="160"/>
      </w:pPr>
      <w:r>
        <w:rPr>
          <w:rFonts w:ascii="Arial" w:cs="Arial" w:eastAsia="Arial" w:hAnsi="Arial"/>
          <w:b/>
          <w:bCs/>
          <w:color w:val="2E75B6"/>
          <w:sz w:val="22"/>
          <w:szCs w:val="22"/>
        </w:rPr>
        <w:t xml:space="preserve">Formato Parquet</w:t>
      </w:r>
    </w:p>
    <w:p>
      <w:pPr>
        <w:spacing w:after="100" w:before="0"/>
        <w:ind w:left="360"/>
      </w:pPr>
      <w:r>
        <w:rPr>
          <w:rFonts w:ascii="Arial" w:cs="Arial" w:eastAsia="Arial" w:hAnsi="Arial"/>
          <w:sz w:val="20"/>
          <w:szCs w:val="20"/>
        </w:rPr>
        <w:t xml:space="preserve">Formato de almacenamiento columnar optimizado para análisis de datos a gran escala. Las cinco tablas analíticas Gold del Proyecto PAC se almacenan en parquet: events.parquet, events_curves.parquet, states.parquet, nights.parquet, patients.parquet.</w:t>
      </w:r>
    </w:p>
    <w:p>
      <w:pPr>
        <w:spacing w:after="40" w:before="160"/>
      </w:pPr>
      <w:r>
        <w:rPr>
          <w:rFonts w:ascii="Arial" w:cs="Arial" w:eastAsia="Arial" w:hAnsi="Arial"/>
          <w:b/>
          <w:bCs/>
          <w:color w:val="2E75B6"/>
          <w:sz w:val="22"/>
          <w:szCs w:val="22"/>
        </w:rPr>
        <w:t xml:space="preserve">Frecuencia cardíaca (FC)</w:t>
      </w:r>
    </w:p>
    <w:p>
      <w:pPr>
        <w:spacing w:after="100" w:before="0"/>
        <w:ind w:left="360"/>
      </w:pPr>
      <w:r>
        <w:rPr>
          <w:rFonts w:ascii="Arial" w:cs="Arial" w:eastAsia="Arial" w:hAnsi="Arial"/>
          <w:sz w:val="20"/>
          <w:szCs w:val="20"/>
        </w:rPr>
        <w:t xml:space="preserve">Número de latidos cardíacos por minuto. Señal secundaria del SOMNI 6000, registrada a 1 Hz mediante fotopletismografía (PPG). Utilizada como componente del ARI (hr_gain = Δhr_bpm / drop_pct) y como feature en los PAC States.</w:t>
      </w:r>
    </w:p>
    <w:p>
      <w:pPr>
        <w:spacing w:after="40" w:before="160"/>
      </w:pPr>
      <w:r>
        <w:rPr>
          <w:rFonts w:ascii="Arial" w:cs="Arial" w:eastAsia="Arial" w:hAnsi="Arial"/>
          <w:b/>
          <w:bCs/>
          <w:color w:val="2E75B6"/>
          <w:sz w:val="22"/>
          <w:szCs w:val="22"/>
        </w:rPr>
        <w:t xml:space="preserve">Gradiente autonómico inverso</w:t>
      </w:r>
    </w:p>
    <w:p>
      <w:pPr>
        <w:spacing w:after="100" w:before="0"/>
        <w:ind w:left="360"/>
      </w:pPr>
      <w:r>
        <w:rPr>
          <w:rFonts w:ascii="Arial" w:cs="Arial" w:eastAsia="Arial" w:hAnsi="Arial"/>
          <w:sz w:val="20"/>
          <w:szCs w:val="20"/>
        </w:rPr>
        <w:t xml:space="preserve">Hallazgo central del Proyecto PAC (Cap04 §4.3.3): los morfotipos más severos (C5) presentan el ARI más bajo del corpus (0,423 ± 0,104). Los eventos con mayor carga hipóxica generan menor reactividad autonómica relativa. Interpretado como agotamiento de la reserva autonómica o adaptación crónica a la hipoxemia recurrente.</w:t>
      </w:r>
    </w:p>
    <w:p>
      <w:pPr>
        <w:spacing w:after="40" w:before="160"/>
      </w:pPr>
      <w:r>
        <w:rPr>
          <w:rFonts w:ascii="Arial" w:cs="Arial" w:eastAsia="Arial" w:hAnsi="Arial"/>
          <w:b/>
          <w:bCs/>
          <w:color w:val="2E75B6"/>
          <w:sz w:val="22"/>
          <w:szCs w:val="22"/>
        </w:rPr>
        <w:t xml:space="preserve">LightGBM (Gradiente potenciado)</w:t>
      </w:r>
    </w:p>
    <w:p>
      <w:pPr>
        <w:spacing w:after="100" w:before="0"/>
        <w:ind w:left="360"/>
      </w:pPr>
      <w:r>
        <w:rPr>
          <w:rFonts w:ascii="Arial" w:cs="Arial" w:eastAsia="Arial" w:hAnsi="Arial"/>
          <w:sz w:val="20"/>
          <w:szCs w:val="20"/>
        </w:rPr>
        <w:t xml:space="preserve">Gradient Boosting Decision Tree de alta eficiencia que entrena árboles hoja por hoja (leaf-wise) en lugar de nivel por nivel, reduciendo el tiempo de entrenamiento con grandes datasets (Ke et al., 2017). Principal modelo supervisado del Proyecto PAC. Supera a la Regresión Logística regularizada en 3–5 puntos AUC en NB07 y NB08.</w:t>
      </w:r>
    </w:p>
    <w:p>
      <w:pPr>
        <w:spacing w:after="40" w:before="160"/>
      </w:pPr>
      <w:r>
        <w:rPr>
          <w:rFonts w:ascii="Arial" w:cs="Arial" w:eastAsia="Arial" w:hAnsi="Arial"/>
          <w:b/>
          <w:bCs/>
          <w:color w:val="2E75B6"/>
          <w:sz w:val="22"/>
          <w:szCs w:val="22"/>
        </w:rPr>
        <w:t xml:space="preserve">Hemoglobina / Oxihemoglobina</w:t>
      </w:r>
    </w:p>
    <w:p>
      <w:pPr>
        <w:spacing w:after="100" w:before="0"/>
        <w:ind w:left="360"/>
      </w:pPr>
      <w:r>
        <w:rPr>
          <w:rFonts w:ascii="Arial" w:cs="Arial" w:eastAsia="Arial" w:hAnsi="Arial"/>
          <w:sz w:val="20"/>
          <w:szCs w:val="20"/>
        </w:rPr>
        <w:t xml:space="preserve">La hemoglobina es la proteína transportadora de oxígeno en los glóbulos rojos. La oxihemoglobina (HbO₂) es la fracción unida al oxígeno. La pulsioximetría estima SpO₂ midiendo diferencias de absorción de luz entre HbO₂ y desoxihemoglobina a dos longitudes de onda.</w:t>
      </w:r>
    </w:p>
    <w:p>
      <w:pPr>
        <w:spacing w:after="40" w:before="160"/>
      </w:pPr>
      <w:r>
        <w:rPr>
          <w:rFonts w:ascii="Arial" w:cs="Arial" w:eastAsia="Arial" w:hAnsi="Arial"/>
          <w:b/>
          <w:bCs/>
          <w:color w:val="2E75B6"/>
          <w:sz w:val="22"/>
          <w:szCs w:val="22"/>
        </w:rPr>
        <w:t xml:space="preserve">Heterogeneidad fisiopatológica del SAOS</w:t>
      </w:r>
    </w:p>
    <w:p>
      <w:pPr>
        <w:spacing w:after="100" w:before="0"/>
        <w:ind w:left="360"/>
      </w:pPr>
      <w:r>
        <w:rPr>
          <w:rFonts w:ascii="Arial" w:cs="Arial" w:eastAsia="Arial" w:hAnsi="Arial"/>
          <w:sz w:val="20"/>
          <w:szCs w:val="20"/>
        </w:rPr>
        <w:t xml:space="preserve">El SAOS no es una entidad uniforme sino un síndrome con múltiples mecanismos contribuyentes: anatomía faríngea comprometida, loop gain elevado, umbral de arousal bajo, compensación muscular insuficiente. Esta heterogeneidad explica la variabilidad en respuesta al tratamiento y la limitación de los índices escalares como el AHI.</w:t>
      </w:r>
    </w:p>
    <w:p>
      <w:pPr>
        <w:spacing w:after="40" w:before="160"/>
      </w:pPr>
      <w:r>
        <w:rPr>
          <w:rFonts w:ascii="Arial" w:cs="Arial" w:eastAsia="Arial" w:hAnsi="Arial"/>
          <w:b/>
          <w:bCs/>
          <w:color w:val="2E75B6"/>
          <w:sz w:val="22"/>
          <w:szCs w:val="22"/>
        </w:rPr>
        <w:t xml:space="preserve">Hipopnea</w:t>
      </w:r>
    </w:p>
    <w:p>
      <w:pPr>
        <w:spacing w:after="100" w:before="0"/>
        <w:ind w:left="360"/>
      </w:pPr>
      <w:r>
        <w:rPr>
          <w:rFonts w:ascii="Arial" w:cs="Arial" w:eastAsia="Arial" w:hAnsi="Arial"/>
          <w:sz w:val="20"/>
          <w:szCs w:val="20"/>
        </w:rPr>
        <w:t xml:space="preserve">Reducción parcial (≥ 30%) del flujo aéreo asociada a desaturación de oxígeno (≥ 3–4 pp según criterio AASM) o microdespertar. A diferencia de la apnea, no hay cese completo del flujo. Se incluye en el AHI junto con las apneas.</w:t>
      </w:r>
    </w:p>
    <w:p>
      <w:pPr>
        <w:spacing w:after="40" w:before="160"/>
      </w:pPr>
      <w:r>
        <w:rPr>
          <w:rFonts w:ascii="Arial" w:cs="Arial" w:eastAsia="Arial" w:hAnsi="Arial"/>
          <w:b/>
          <w:bCs/>
          <w:color w:val="2E75B6"/>
          <w:sz w:val="22"/>
          <w:szCs w:val="22"/>
        </w:rPr>
        <w:t xml:space="preserve">Hipoxemia</w:t>
      </w:r>
    </w:p>
    <w:p>
      <w:pPr>
        <w:spacing w:after="100" w:before="0"/>
        <w:ind w:left="360"/>
      </w:pPr>
      <w:r>
        <w:rPr>
          <w:rFonts w:ascii="Arial" w:cs="Arial" w:eastAsia="Arial" w:hAnsi="Arial"/>
          <w:sz w:val="20"/>
          <w:szCs w:val="20"/>
        </w:rPr>
        <w:t xml:space="preserve">Nivel anormalmente bajo de oxígeno en sangre (SpO₂ &lt; 90% o PaO₂ &lt; 60 mmHg). En el SAOS, la hipoxemia es intermitente y se asocia a cada evento obstructivo. La hipoxemia basal crónica modifica la interpretación de las caídas relativas de SpO₂.</w:t>
      </w:r>
    </w:p>
    <w:p>
      <w:pPr>
        <w:spacing w:after="40" w:before="160"/>
      </w:pPr>
      <w:r>
        <w:rPr>
          <w:rFonts w:ascii="Arial" w:cs="Arial" w:eastAsia="Arial" w:hAnsi="Arial"/>
          <w:b/>
          <w:bCs/>
          <w:color w:val="2E75B6"/>
          <w:sz w:val="22"/>
          <w:szCs w:val="22"/>
        </w:rPr>
        <w:t xml:space="preserve">Horizonte temporal (H)</w:t>
      </w:r>
    </w:p>
    <w:p>
      <w:pPr>
        <w:spacing w:after="100" w:before="0"/>
        <w:ind w:left="360"/>
      </w:pPr>
      <w:r>
        <w:rPr>
          <w:rFonts w:ascii="Arial" w:cs="Arial" w:eastAsia="Arial" w:hAnsi="Arial"/>
          <w:sz w:val="20"/>
          <w:szCs w:val="20"/>
        </w:rPr>
        <w:t xml:space="preserve">En la predicción prospectiva (NB08), tiempo de anticipación entre el momento de predicción y el inicio del evento severo que se quiere anticipar. Evaluado en H ∈ {2, 5, 10, 15} min. H=5 min es el horizonte óptimo (AUC = 0,821 ± 0,022, Sens=76%, Spec=74%, PPV=20%).</w:t>
      </w:r>
    </w:p>
    <w:p>
      <w:pPr>
        <w:spacing w:after="40" w:before="160"/>
      </w:pPr>
      <w:r>
        <w:rPr>
          <w:rFonts w:ascii="Arial" w:cs="Arial" w:eastAsia="Arial" w:hAnsi="Arial"/>
          <w:b/>
          <w:bCs/>
          <w:color w:val="2E75B6"/>
          <w:sz w:val="22"/>
          <w:szCs w:val="22"/>
        </w:rPr>
        <w:t xml:space="preserve">ICC — Correlación intraclase</w:t>
      </w:r>
    </w:p>
    <w:p>
      <w:pPr>
        <w:spacing w:after="100" w:before="0"/>
        <w:ind w:left="360"/>
      </w:pPr>
      <w:r>
        <w:rPr>
          <w:rFonts w:ascii="Arial" w:cs="Arial" w:eastAsia="Arial" w:hAnsi="Arial"/>
          <w:sz w:val="20"/>
          <w:szCs w:val="20"/>
        </w:rPr>
        <w:t xml:space="preserve">Ver: Correlación intraclase (ICC).</w:t>
      </w:r>
    </w:p>
    <w:p>
      <w:pPr>
        <w:spacing w:after="40" w:before="160"/>
      </w:pPr>
      <w:r>
        <w:rPr>
          <w:rFonts w:ascii="Arial" w:cs="Arial" w:eastAsia="Arial" w:hAnsi="Arial"/>
          <w:b/>
          <w:bCs/>
          <w:color w:val="2E75B6"/>
          <w:sz w:val="22"/>
          <w:szCs w:val="22"/>
        </w:rPr>
        <w:t xml:space="preserve">IEI (Intervalo Inter-Evento)</w:t>
      </w:r>
    </w:p>
    <w:p>
      <w:pPr>
        <w:spacing w:after="100" w:before="0"/>
        <w:ind w:left="360"/>
      </w:pPr>
      <w:r>
        <w:rPr>
          <w:rFonts w:ascii="Arial" w:cs="Arial" w:eastAsia="Arial" w:hAnsi="Arial"/>
          <w:sz w:val="20"/>
          <w:szCs w:val="20"/>
        </w:rPr>
        <w:t xml:space="preserve">Tiempo transcurrido entre el final de un EDO y el inicio del siguiente. Mediana en el corpus PAC: 82 s. Su distribución refleja el ritmo de recurrencia de los eventos y depende de la gravedad del SAOS y el estado fisiológico nocturno activo.</w:t>
      </w:r>
    </w:p>
    <w:p>
      <w:pPr>
        <w:spacing w:after="40" w:before="160"/>
      </w:pPr>
      <w:r>
        <w:rPr>
          <w:rFonts w:ascii="Arial" w:cs="Arial" w:eastAsia="Arial" w:hAnsi="Arial"/>
          <w:b/>
          <w:bCs/>
          <w:color w:val="2E75B6"/>
          <w:sz w:val="22"/>
          <w:szCs w:val="22"/>
        </w:rPr>
        <w:t xml:space="preserve">Índice de riesgo compuesto</w:t>
      </w:r>
    </w:p>
    <w:p>
      <w:pPr>
        <w:spacing w:after="100" w:before="0"/>
        <w:ind w:left="360"/>
      </w:pPr>
      <w:r>
        <w:rPr>
          <w:rFonts w:ascii="Arial" w:cs="Arial" w:eastAsia="Arial" w:hAnsi="Arial"/>
          <w:sz w:val="20"/>
          <w:szCs w:val="20"/>
        </w:rPr>
        <w:t xml:space="preserve">Puntaje que combina múltiples dimensiones de riesgo en un único valor escalar. En el Proyecto PAC se implementa como el Risk Score PAC (0–100): 0,40 × p_ev_norm + 0,60 × p_high_risk_night. Es un índice retrospectivo calculado sobre la noche procesada, no un sistema de monitoreo en tiempo real. Ver también: Risk Score PAC.</w:t>
      </w:r>
    </w:p>
    <w:p>
      <w:pPr>
        <w:spacing w:after="40" w:before="160"/>
      </w:pPr>
      <w:r>
        <w:rPr>
          <w:rFonts w:ascii="Arial" w:cs="Arial" w:eastAsia="Arial" w:hAnsi="Arial"/>
          <w:b/>
          <w:bCs/>
          <w:color w:val="2E75B6"/>
          <w:sz w:val="22"/>
          <w:szCs w:val="22"/>
        </w:rPr>
        <w:t xml:space="preserve">Inercia (K-Medias)</w:t>
      </w:r>
    </w:p>
    <w:p>
      <w:pPr>
        <w:spacing w:after="100" w:before="0"/>
        <w:ind w:left="360"/>
      </w:pPr>
      <w:r>
        <w:rPr>
          <w:rFonts w:ascii="Arial" w:cs="Arial" w:eastAsia="Arial" w:hAnsi="Arial"/>
          <w:sz w:val="20"/>
          <w:szCs w:val="20"/>
        </w:rPr>
        <w:t xml:space="preserve">Suma de las distancias cuadráticas de cada punto a su centroide asignado. Es la función objetivo que minimiza el algoritmo K-Medias. El método del codo (elbow) busca el K donde la reducción de inercia al añadir un cluster adicional se vuelve marginal.</w:t>
      </w:r>
    </w:p>
    <w:p>
      <w:pPr>
        <w:spacing w:after="40" w:before="160"/>
      </w:pPr>
      <w:r>
        <w:rPr>
          <w:rFonts w:ascii="Arial" w:cs="Arial" w:eastAsia="Arial" w:hAnsi="Arial"/>
          <w:b/>
          <w:bCs/>
          <w:color w:val="2E75B6"/>
          <w:sz w:val="22"/>
          <w:szCs w:val="22"/>
        </w:rPr>
        <w:t xml:space="preserve">Intervalo de confianza (IC)</w:t>
      </w:r>
    </w:p>
    <w:p>
      <w:pPr>
        <w:spacing w:after="100" w:before="0"/>
        <w:ind w:left="360"/>
      </w:pPr>
      <w:r>
        <w:rPr>
          <w:rFonts w:ascii="Arial" w:cs="Arial" w:eastAsia="Arial" w:hAnsi="Arial"/>
          <w:sz w:val="20"/>
          <w:szCs w:val="20"/>
        </w:rPr>
        <w:t xml:space="preserve">Rango de valores que contiene el parámetro verdadero con una probabilidad especificada (p. ej., IC 95%). En el Proyecto PAC se calculan por bootstrap (remuestreo con reposición) cuando la distribución teórica del estadístico no está disponible. Ver también: Bootstrap e intervalos de confianza.</w:t>
      </w:r>
    </w:p>
    <w:p>
      <w:pPr>
        <w:spacing w:after="40" w:before="160"/>
      </w:pPr>
      <w:r>
        <w:rPr>
          <w:rFonts w:ascii="Arial" w:cs="Arial" w:eastAsia="Arial" w:hAnsi="Arial"/>
          <w:b/>
          <w:bCs/>
          <w:color w:val="2E75B6"/>
          <w:sz w:val="22"/>
          <w:szCs w:val="22"/>
        </w:rPr>
        <w:t xml:space="preserve">Loop gain (ganancia del lazo ventilatorio)</w:t>
      </w:r>
    </w:p>
    <w:p>
      <w:pPr>
        <w:spacing w:after="100" w:before="0"/>
        <w:ind w:left="360"/>
      </w:pPr>
      <w:r>
        <w:rPr>
          <w:rFonts w:ascii="Arial" w:cs="Arial" w:eastAsia="Arial" w:hAnsi="Arial"/>
          <w:sz w:val="20"/>
          <w:szCs w:val="20"/>
        </w:rPr>
        <w:t xml:space="preserve">Medida de la inestabilidad del sistema de control ventilatorio: cuánto varía la ventilación en respuesta a una perturbación dada. Un loop gain alto implica que el sistema responde exageradamente a perturbaciones menores, perpetuando la inestabilidad respiratoria durante el sueño.</w:t>
      </w:r>
    </w:p>
    <w:p>
      <w:pPr>
        <w:spacing w:after="40" w:before="160"/>
      </w:pPr>
      <w:r>
        <w:rPr>
          <w:rFonts w:ascii="Arial" w:cs="Arial" w:eastAsia="Arial" w:hAnsi="Arial"/>
          <w:b/>
          <w:bCs/>
          <w:color w:val="2E75B6"/>
          <w:sz w:val="22"/>
          <w:szCs w:val="22"/>
        </w:rPr>
        <w:t xml:space="preserve">LOPO-CV — Validación cruzada LOPO</w:t>
      </w:r>
    </w:p>
    <w:p>
      <w:pPr>
        <w:spacing w:after="100" w:before="0"/>
        <w:ind w:left="360"/>
      </w:pPr>
      <w:r>
        <w:rPr>
          <w:rFonts w:ascii="Arial" w:cs="Arial" w:eastAsia="Arial" w:hAnsi="Arial"/>
          <w:sz w:val="20"/>
          <w:szCs w:val="20"/>
        </w:rPr>
        <w:t xml:space="preserve">Ver: Validación cruzada LOPO (LOPO-CV).</w:t>
      </w:r>
    </w:p>
    <w:p>
      <w:pPr>
        <w:spacing w:after="40" w:before="160"/>
      </w:pPr>
      <w:r>
        <w:rPr>
          <w:rFonts w:ascii="Arial" w:cs="Arial" w:eastAsia="Arial" w:hAnsi="Arial"/>
          <w:b/>
          <w:bCs/>
          <w:color w:val="2E75B6"/>
          <w:sz w:val="22"/>
          <w:szCs w:val="22"/>
        </w:rPr>
        <w:t xml:space="preserve">MAE (Mean Absolute Error — Error Absoluto Medio)</w:t>
      </w:r>
    </w:p>
    <w:p>
      <w:pPr>
        <w:spacing w:after="100" w:before="0"/>
        <w:ind w:left="360"/>
      </w:pPr>
      <w:r>
        <w:rPr>
          <w:rFonts w:ascii="Arial" w:cs="Arial" w:eastAsia="Arial" w:hAnsi="Arial"/>
          <w:sz w:val="20"/>
          <w:szCs w:val="20"/>
        </w:rPr>
        <w:t xml:space="preserve">Promedio de los valores absolutos de los errores de predicción. Métrica de regresión que penaliza todos los errores por igual, a diferencia del RMSE que penaliza más los errores grandes por el efecto del cuadrado.</w:t>
      </w:r>
    </w:p>
    <w:p>
      <w:pPr>
        <w:spacing w:after="40" w:before="160"/>
      </w:pPr>
      <w:r>
        <w:rPr>
          <w:rFonts w:ascii="Arial" w:cs="Arial" w:eastAsia="Arial" w:hAnsi="Arial"/>
          <w:b/>
          <w:bCs/>
          <w:color w:val="2E75B6"/>
          <w:sz w:val="22"/>
          <w:szCs w:val="22"/>
        </w:rPr>
        <w:t xml:space="preserve">Matriz de transición</w:t>
      </w:r>
    </w:p>
    <w:p>
      <w:pPr>
        <w:spacing w:after="100" w:before="0"/>
        <w:ind w:left="360"/>
      </w:pPr>
      <w:r>
        <w:rPr>
          <w:rFonts w:ascii="Arial" w:cs="Arial" w:eastAsia="Arial" w:hAnsi="Arial"/>
          <w:sz w:val="20"/>
          <w:szCs w:val="20"/>
        </w:rPr>
        <w:t xml:space="preserve">Matriz cuadrada P donde el elemento Pᵢⱼ indica la probabilidad de transitar del estado i al estado j en las cadenas de Markov discretas. En el Proyecto PAC se estima empíricamente sobre las transiciones observadas entre ventanas consecutivas de cada escala (S, M, L).</w:t>
      </w:r>
    </w:p>
    <w:p>
      <w:pPr>
        <w:spacing w:after="40" w:before="160"/>
      </w:pPr>
      <w:r>
        <w:rPr>
          <w:rFonts w:ascii="Arial" w:cs="Arial" w:eastAsia="Arial" w:hAnsi="Arial"/>
          <w:b/>
          <w:bCs/>
          <w:color w:val="2E75B6"/>
          <w:sz w:val="22"/>
          <w:szCs w:val="22"/>
        </w:rPr>
        <w:t xml:space="preserve">Mediana</w:t>
      </w:r>
    </w:p>
    <w:p>
      <w:pPr>
        <w:spacing w:after="100" w:before="0"/>
        <w:ind w:left="360"/>
      </w:pPr>
      <w:r>
        <w:rPr>
          <w:rFonts w:ascii="Arial" w:cs="Arial" w:eastAsia="Arial" w:hAnsi="Arial"/>
          <w:sz w:val="20"/>
          <w:szCs w:val="20"/>
        </w:rPr>
        <w:t xml:space="preserve">Valor que divide la distribución en dos mitades iguales cuando las observaciones se ordenan. Menos sensible a valores extremos que la media aritmética. Estadístico de resumen predeterminado en el Proyecto PAC para features como el IEI (mediana = 82 s).</w:t>
      </w:r>
    </w:p>
    <w:p>
      <w:pPr>
        <w:spacing w:after="40" w:before="160"/>
      </w:pPr>
      <w:r>
        <w:rPr>
          <w:rFonts w:ascii="Arial" w:cs="Arial" w:eastAsia="Arial" w:hAnsi="Arial"/>
          <w:b/>
          <w:bCs/>
          <w:color w:val="2E75B6"/>
          <w:sz w:val="22"/>
          <w:szCs w:val="22"/>
        </w:rPr>
        <w:t xml:space="preserve">Mediana deslizante</w:t>
      </w:r>
    </w:p>
    <w:p>
      <w:pPr>
        <w:spacing w:after="100" w:before="0"/>
        <w:ind w:left="360"/>
      </w:pPr>
      <w:r>
        <w:rPr>
          <w:rFonts w:ascii="Arial" w:cs="Arial" w:eastAsia="Arial" w:hAnsi="Arial"/>
          <w:sz w:val="20"/>
          <w:szCs w:val="20"/>
        </w:rPr>
        <w:t xml:space="preserve">Valor de la mediana calculado sobre una ventana móvil de ancho fijo desplazada a lo largo de la serie temporal. Usada en el Proyecto PAC para estimar el baseline local de SpO₂ (ventana de 120 s) de forma robusta a artefactos puntuales.</w:t>
      </w:r>
    </w:p>
    <w:p>
      <w:pPr>
        <w:spacing w:after="40" w:before="160"/>
      </w:pPr>
      <w:r>
        <w:rPr>
          <w:rFonts w:ascii="Arial" w:cs="Arial" w:eastAsia="Arial" w:hAnsi="Arial"/>
          <w:b/>
          <w:bCs/>
          <w:color w:val="2E75B6"/>
          <w:sz w:val="22"/>
          <w:szCs w:val="22"/>
        </w:rPr>
        <w:t xml:space="preserve">Morfotipo</w:t>
      </w:r>
    </w:p>
    <w:p>
      <w:pPr>
        <w:spacing w:after="100" w:before="0"/>
        <w:ind w:left="360"/>
      </w:pPr>
      <w:r>
        <w:rPr>
          <w:rFonts w:ascii="Arial" w:cs="Arial" w:eastAsia="Arial" w:hAnsi="Arial"/>
          <w:sz w:val="20"/>
          <w:szCs w:val="20"/>
        </w:rPr>
        <w:t xml:space="preserve">Patrón morfológico recurrente identificado por agrupamiento no supervisado sobre curvas o features de señal fisiológica. En el Proyecto PAC existen dos sistemas de morfotipos: C1–C5 (basado en la curva SpO₂ de 30 puntos, K=5) y α–δ (basado en 10 features escalares, K=4). Cada morfotipo representa un prototipo de forma de evento con propiedades fisiológicas diferenciadas.</w:t>
      </w:r>
    </w:p>
    <w:p>
      <w:pPr>
        <w:spacing w:after="40" w:before="160"/>
      </w:pPr>
      <w:r>
        <w:rPr>
          <w:rFonts w:ascii="Arial" w:cs="Arial" w:eastAsia="Arial" w:hAnsi="Arial"/>
          <w:b/>
          <w:bCs/>
          <w:color w:val="2E75B6"/>
          <w:sz w:val="22"/>
          <w:szCs w:val="22"/>
        </w:rPr>
        <w:t xml:space="preserve">Morfotipos α–δ</w:t>
      </w:r>
    </w:p>
    <w:p>
      <w:pPr>
        <w:spacing w:after="100" w:before="0"/>
        <w:ind w:left="360"/>
      </w:pPr>
      <w:r>
        <w:rPr>
          <w:rFonts w:ascii="Arial" w:cs="Arial" w:eastAsia="Arial" w:hAnsi="Arial"/>
          <w:sz w:val="20"/>
          <w:szCs w:val="20"/>
        </w:rPr>
        <w:t xml:space="preserve">Sistema alternativo de 4 morfotipos (K=4) obtenido por clustering sobre 10 features escalares morfológicas (no sobre la curva completa). Complementa al sistema C1–C5 con mayor interpretabilidad directa de las features individuales.</w:t>
      </w:r>
    </w:p>
    <w:p>
      <w:pPr>
        <w:spacing w:after="40" w:before="160"/>
      </w:pPr>
      <w:r>
        <w:rPr>
          <w:rFonts w:ascii="Arial" w:cs="Arial" w:eastAsia="Arial" w:hAnsi="Arial"/>
          <w:b/>
          <w:bCs/>
          <w:color w:val="2E75B6"/>
          <w:sz w:val="22"/>
          <w:szCs w:val="22"/>
        </w:rPr>
        <w:t xml:space="preserve">Morfotipos C1–C5</w:t>
      </w:r>
    </w:p>
    <w:p>
      <w:pPr>
        <w:spacing w:after="100" w:before="0"/>
        <w:ind w:left="360"/>
      </w:pPr>
      <w:r>
        <w:rPr>
          <w:rFonts w:ascii="Arial" w:cs="Arial" w:eastAsia="Arial" w:hAnsi="Arial"/>
          <w:sz w:val="20"/>
          <w:szCs w:val="20"/>
        </w:rPr>
        <w:t xml:space="preserve">Cinco fenotipos de curvas SpO₂ obtenidos por K-Medias (K=5) sobre PCA de 84.248 curvas de 30 puntos normalizados. C1–C3: eventos breves o superficiales. C4: caída profunda con recuperación lenta. C5: el más severo, caída profunda y prolongada. C4+C5 representan el 6,1% del corpus pero concentran la carga hipóxica desproporcionadamente.</w:t>
      </w:r>
    </w:p>
    <w:p>
      <w:pPr>
        <w:spacing w:after="40" w:before="160"/>
      </w:pPr>
      <w:r>
        <w:rPr>
          <w:rFonts w:ascii="Arial" w:cs="Arial" w:eastAsia="Arial" w:hAnsi="Arial"/>
          <w:b/>
          <w:bCs/>
          <w:color w:val="2E75B6"/>
          <w:sz w:val="22"/>
          <w:szCs w:val="22"/>
        </w:rPr>
        <w:t xml:space="preserve">MOV (Señal de Movimiento)</w:t>
      </w:r>
    </w:p>
    <w:p>
      <w:pPr>
        <w:spacing w:after="100" w:before="0"/>
        <w:ind w:left="360"/>
      </w:pPr>
      <w:r>
        <w:rPr>
          <w:rFonts w:ascii="Arial" w:cs="Arial" w:eastAsia="Arial" w:hAnsi="Arial"/>
          <w:sz w:val="20"/>
          <w:szCs w:val="20"/>
        </w:rPr>
        <w:t xml:space="preserve">Señal auxiliar del SOMNI 6000 que registra el movimiento del dedo a 1 Hz. Proxy de la activación motora asociada a los microdespertares. Componente del ARI (mov_gain = (peak_mov − baseline_mov) / drop_pct) y feature en los PAC States.</w:t>
      </w:r>
    </w:p>
    <w:p>
      <w:pPr>
        <w:spacing w:after="40" w:before="160"/>
      </w:pPr>
      <w:r>
        <w:rPr>
          <w:rFonts w:ascii="Arial" w:cs="Arial" w:eastAsia="Arial" w:hAnsi="Arial"/>
          <w:b/>
          <w:bCs/>
          <w:color w:val="2E75B6"/>
          <w:sz w:val="22"/>
          <w:szCs w:val="22"/>
        </w:rPr>
        <w:t xml:space="preserve">NB06 — Estudio de ablación por bloques</w:t>
      </w:r>
    </w:p>
    <w:p>
      <w:pPr>
        <w:spacing w:after="100" w:before="0"/>
        <w:ind w:left="360"/>
      </w:pPr>
      <w:r>
        <w:rPr>
          <w:rFonts w:ascii="Arial" w:cs="Arial" w:eastAsia="Arial" w:hAnsi="Arial"/>
          <w:sz w:val="20"/>
          <w:szCs w:val="20"/>
        </w:rPr>
        <w:t xml:space="preserve">Notebook de análisis que evalúa la contribución de cuatro bloques de features (PAC States, morfotipos, dinámica Markoviana, ARI) mediante estudio de ablación sistemática con LightGBM y validación LOPO-CV. Corpus: 8 pacientes, cohorte estricta.</w:t>
      </w:r>
    </w:p>
    <w:p>
      <w:pPr>
        <w:spacing w:after="40" w:before="160"/>
      </w:pPr>
      <w:r>
        <w:rPr>
          <w:rFonts w:ascii="Arial" w:cs="Arial" w:eastAsia="Arial" w:hAnsi="Arial"/>
          <w:b/>
          <w:bCs/>
          <w:color w:val="2E75B6"/>
          <w:sz w:val="22"/>
          <w:szCs w:val="22"/>
        </w:rPr>
        <w:t xml:space="preserve">NB07 — Predicción de evento severo y riesgo nocturno</w:t>
      </w:r>
    </w:p>
    <w:p>
      <w:pPr>
        <w:spacing w:after="100" w:before="0"/>
        <w:ind w:left="360"/>
      </w:pPr>
      <w:r>
        <w:rPr>
          <w:rFonts w:ascii="Arial" w:cs="Arial" w:eastAsia="Arial" w:hAnsi="Arial"/>
          <w:sz w:val="20"/>
          <w:szCs w:val="20"/>
        </w:rPr>
        <w:t xml:space="preserve">Notebook con dos bloques. Bloque B: predicción de evento C4/C5 en curso (AUC=0,878, AP=0,240, n=76.053 eventos). Bloque C: clasificación de riesgo nocturno (AUC=0,905, AP=0,834 vs. baseline=0,348, n=494 noches). Validación LOPO-CV estricta.</w:t>
      </w:r>
    </w:p>
    <w:p>
      <w:pPr>
        <w:spacing w:after="40" w:before="160"/>
      </w:pPr>
      <w:r>
        <w:rPr>
          <w:rFonts w:ascii="Arial" w:cs="Arial" w:eastAsia="Arial" w:hAnsi="Arial"/>
          <w:b/>
          <w:bCs/>
          <w:color w:val="2E75B6"/>
          <w:sz w:val="22"/>
          <w:szCs w:val="22"/>
        </w:rPr>
        <w:t xml:space="preserve">NB08 — Predicción prospectiva con horizonte temporal</w:t>
      </w:r>
    </w:p>
    <w:p>
      <w:pPr>
        <w:spacing w:after="100" w:before="0"/>
        <w:ind w:left="360"/>
      </w:pPr>
      <w:r>
        <w:rPr>
          <w:rFonts w:ascii="Arial" w:cs="Arial" w:eastAsia="Arial" w:hAnsi="Arial"/>
          <w:sz w:val="20"/>
          <w:szCs w:val="20"/>
        </w:rPr>
        <w:t xml:space="preserve">Notebook de predicción sobre ventanas deslizantes con margen temporal explícito. 452.955 ventanas de 30 s × 4 horizontes (H ∈ {2,5,10,15} min), 8 pacientes, 540 noches. AUC óptimo = 0,821 ± 0,022 para H=5 min. Define la condición algorítmica mínima para una intervención adaptativa con el estimulador del SOMNI 6000.</w:t>
      </w:r>
    </w:p>
    <w:p>
      <w:pPr>
        <w:spacing w:after="40" w:before="160"/>
      </w:pPr>
      <w:r>
        <w:rPr>
          <w:rFonts w:ascii="Arial" w:cs="Arial" w:eastAsia="Arial" w:hAnsi="Arial"/>
          <w:b/>
          <w:bCs/>
          <w:color w:val="2E75B6"/>
          <w:sz w:val="22"/>
          <w:szCs w:val="22"/>
        </w:rPr>
        <w:t xml:space="preserve">No estacionariedad</w:t>
      </w:r>
    </w:p>
    <w:p>
      <w:pPr>
        <w:spacing w:after="100" w:before="0"/>
        <w:ind w:left="360"/>
      </w:pPr>
      <w:r>
        <w:rPr>
          <w:rFonts w:ascii="Arial" w:cs="Arial" w:eastAsia="Arial" w:hAnsi="Arial"/>
          <w:sz w:val="20"/>
          <w:szCs w:val="20"/>
        </w:rPr>
        <w:t xml:space="preserve">Propiedad de una serie temporal cuya media, varianza o estructura de correlación cambian en el tiempo. Las señales fisiológicas nocturnas (SpO₂, FC, MOV) son no estacionarias. Requiere métodos adaptativos (p. ej., baseline móvil) en lugar de estadísticos globales fijos.</w:t>
      </w:r>
    </w:p>
    <w:p>
      <w:pPr>
        <w:spacing w:after="40" w:before="160"/>
      </w:pPr>
      <w:r>
        <w:rPr>
          <w:rFonts w:ascii="Arial" w:cs="Arial" w:eastAsia="Arial" w:hAnsi="Arial"/>
          <w:b/>
          <w:bCs/>
          <w:color w:val="2E75B6"/>
          <w:sz w:val="22"/>
          <w:szCs w:val="22"/>
        </w:rPr>
        <w:t xml:space="preserve">Normalización / Estandarización</w:t>
      </w:r>
    </w:p>
    <w:p>
      <w:pPr>
        <w:spacing w:after="100" w:before="0"/>
        <w:ind w:left="360"/>
      </w:pPr>
      <w:r>
        <w:rPr>
          <w:rFonts w:ascii="Arial" w:cs="Arial" w:eastAsia="Arial" w:hAnsi="Arial"/>
          <w:sz w:val="20"/>
          <w:szCs w:val="20"/>
        </w:rPr>
        <w:t xml:space="preserve">Normalización escala los valores al rango [0,1]. Estandarización (z-score) los transforma a media=0 y DE=1. En el Proyecto PAC, las curvas de 30 puntos SpO₂ se normalizan antes del análisis de componentes principales para eliminar el efecto del nivel basal individual.</w:t>
      </w:r>
    </w:p>
    <w:p>
      <w:pPr>
        <w:spacing w:after="40" w:before="160"/>
      </w:pPr>
      <w:r>
        <w:rPr>
          <w:rFonts w:ascii="Arial" w:cs="Arial" w:eastAsia="Arial" w:hAnsi="Arial"/>
          <w:b/>
          <w:bCs/>
          <w:color w:val="2E75B6"/>
          <w:sz w:val="22"/>
          <w:szCs w:val="22"/>
        </w:rPr>
        <w:t xml:space="preserve">ODI3 (Oxygen Desaturation Index, umbral 3%)</w:t>
      </w:r>
    </w:p>
    <w:p>
      <w:pPr>
        <w:spacing w:after="100" w:before="0"/>
        <w:ind w:left="360"/>
      </w:pPr>
      <w:r>
        <w:rPr>
          <w:rFonts w:ascii="Arial" w:cs="Arial" w:eastAsia="Arial" w:hAnsi="Arial"/>
          <w:sz w:val="20"/>
          <w:szCs w:val="20"/>
        </w:rPr>
        <w:t xml:space="preserve">Número de desaturaciones ≥ 3 pp por hora de sueño. Índice clínico estándar de oximetría. El Proyecto PAC lo calcula como subconjunto del corpus EDO (umbral permisivo ≥ 2 pp) para preservar compatibilidad con la literatura clínica.</w:t>
      </w:r>
    </w:p>
    <w:p>
      <w:pPr>
        <w:spacing w:after="40" w:before="160"/>
      </w:pPr>
      <w:r>
        <w:rPr>
          <w:rFonts w:ascii="Arial" w:cs="Arial" w:eastAsia="Arial" w:hAnsi="Arial"/>
          <w:b/>
          <w:bCs/>
          <w:color w:val="2E75B6"/>
          <w:sz w:val="22"/>
          <w:szCs w:val="22"/>
        </w:rPr>
        <w:t xml:space="preserve">ODI4 (Oxygen Desaturation Index, umbral 4%)</w:t>
      </w:r>
    </w:p>
    <w:p>
      <w:pPr>
        <w:spacing w:after="100" w:before="0"/>
        <w:ind w:left="360"/>
      </w:pPr>
      <w:r>
        <w:rPr>
          <w:rFonts w:ascii="Arial" w:cs="Arial" w:eastAsia="Arial" w:hAnsi="Arial"/>
          <w:sz w:val="20"/>
          <w:szCs w:val="20"/>
        </w:rPr>
        <w:t xml:space="preserve">Número de desaturaciones ≥ 4 pp por hora de sueño. Variante más restrictiva del ODI3, utilizada en algunos protocolos clínicos y estudios de validación de oximetría domiciliaria. El Proyecto PAC puede calcularlo como subconjunto del corpus EDO, al igual que el ODI3.</w:t>
      </w:r>
    </w:p>
    <w:p>
      <w:pPr>
        <w:spacing w:after="40" w:before="160"/>
      </w:pPr>
      <w:r>
        <w:rPr>
          <w:rFonts w:ascii="Arial" w:cs="Arial" w:eastAsia="Arial" w:hAnsi="Arial"/>
          <w:b/>
          <w:bCs/>
          <w:color w:val="2E75B6"/>
          <w:sz w:val="22"/>
          <w:szCs w:val="22"/>
        </w:rPr>
        <w:t xml:space="preserve">p-valor</w:t>
      </w:r>
    </w:p>
    <w:p>
      <w:pPr>
        <w:spacing w:after="100" w:before="0"/>
        <w:ind w:left="360"/>
      </w:pPr>
      <w:r>
        <w:rPr>
          <w:rFonts w:ascii="Arial" w:cs="Arial" w:eastAsia="Arial" w:hAnsi="Arial"/>
          <w:sz w:val="20"/>
          <w:szCs w:val="20"/>
        </w:rPr>
        <w:t xml:space="preserve">Probabilidad de obtener un resultado tan extremo como el observado bajo la hipótesis nula. Con muestras grandes (n = 85.277 EDOs), prácticamente cualquier diferencia produce p &lt; 0,05 sin que ello implique relevancia práctica. El Proyecto PAC enfatiza tamaños de efecto (ρ, AUC, ICC, AP) sobre p-valores (Wasserstein &amp; Lazar, 2016).</w:t>
      </w:r>
    </w:p>
    <w:p>
      <w:pPr>
        <w:spacing w:after="40" w:before="160"/>
      </w:pPr>
      <w:r>
        <w:rPr>
          <w:rFonts w:ascii="Arial" w:cs="Arial" w:eastAsia="Arial" w:hAnsi="Arial"/>
          <w:b/>
          <w:bCs/>
          <w:color w:val="2E75B6"/>
          <w:sz w:val="22"/>
          <w:szCs w:val="22"/>
        </w:rPr>
        <w:t xml:space="preserve">PAC_v3 (pipeline)</w:t>
      </w:r>
    </w:p>
    <w:p>
      <w:pPr>
        <w:spacing w:after="100" w:before="0"/>
        <w:ind w:left="360"/>
      </w:pPr>
      <w:r>
        <w:rPr>
          <w:rFonts w:ascii="Arial" w:cs="Arial" w:eastAsia="Arial" w:hAnsi="Arial"/>
          <w:sz w:val="20"/>
          <w:szCs w:val="20"/>
        </w:rPr>
        <w:t xml:space="preserve">Versión activa del pipeline del Proyecto PAC, organizado en arquitectura Medallion (Bronze → Silver → Events → Gold). Implementa detección de EDOs, fenotipado morfológico (C1–C5), cálculo del ARI, construcción de PAC States (escalas S/M/L) y generación de tablas analíticas Gold. La carpeta en disco se llama PAC_v2/ pero el pipeline documentado es PAC_v3 (reanálisis con cohorte estricta final, NB04).</w:t>
      </w:r>
    </w:p>
    <w:p>
      <w:pPr>
        <w:spacing w:after="40" w:before="160"/>
      </w:pPr>
      <w:r>
        <w:rPr>
          <w:rFonts w:ascii="Arial" w:cs="Arial" w:eastAsia="Arial" w:hAnsi="Arial"/>
          <w:b/>
          <w:bCs/>
          <w:color w:val="2E75B6"/>
          <w:sz w:val="22"/>
          <w:szCs w:val="22"/>
        </w:rPr>
        <w:t xml:space="preserve">Paradoja de Pac314</w:t>
      </w:r>
    </w:p>
    <w:p>
      <w:pPr>
        <w:spacing w:after="100" w:before="0"/>
        <w:ind w:left="360"/>
      </w:pPr>
      <w:r>
        <w:rPr>
          <w:rFonts w:ascii="Arial" w:cs="Arial" w:eastAsia="Arial" w:hAnsi="Arial"/>
          <w:sz w:val="20"/>
          <w:szCs w:val="20"/>
        </w:rPr>
        <w:t xml:space="preserve">Paciente con la menor prevalencia de eventos severos del corpus (1,6%) pero el mayor AUC en NB08 (0,87). Ilustra que discriminación y prevalencia son ortogonales: el modelo PAC puede anticipar eventos en pacientes con pocos eventos severos siempre que su estado fisiológico sea suficientemente distinto del habitual.</w:t>
      </w:r>
    </w:p>
    <w:p>
      <w:pPr>
        <w:spacing w:after="40" w:before="160"/>
      </w:pPr>
      <w:r>
        <w:rPr>
          <w:rFonts w:ascii="Arial" w:cs="Arial" w:eastAsia="Arial" w:hAnsi="Arial"/>
          <w:b/>
          <w:bCs/>
          <w:color w:val="2E75B6"/>
          <w:sz w:val="22"/>
          <w:szCs w:val="22"/>
        </w:rPr>
        <w:t xml:space="preserve">PCA — Análisis de componentes principales</w:t>
      </w:r>
    </w:p>
    <w:p>
      <w:pPr>
        <w:spacing w:after="100" w:before="0"/>
        <w:ind w:left="360"/>
      </w:pPr>
      <w:r>
        <w:rPr>
          <w:rFonts w:ascii="Arial" w:cs="Arial" w:eastAsia="Arial" w:hAnsi="Arial"/>
          <w:sz w:val="20"/>
          <w:szCs w:val="20"/>
        </w:rPr>
        <w:t xml:space="preserve">Ver: PCA (Análisis de componentes principales).</w:t>
      </w:r>
    </w:p>
    <w:p>
      <w:pPr>
        <w:spacing w:after="40" w:before="160"/>
      </w:pPr>
      <w:r>
        <w:rPr>
          <w:rFonts w:ascii="Arial" w:cs="Arial" w:eastAsia="Arial" w:hAnsi="Arial"/>
          <w:b/>
          <w:bCs/>
          <w:color w:val="2E75B6"/>
          <w:sz w:val="22"/>
          <w:szCs w:val="22"/>
        </w:rPr>
        <w:t xml:space="preserve">Percentil / Rango percentil</w:t>
      </w:r>
    </w:p>
    <w:p>
      <w:pPr>
        <w:spacing w:after="100" w:before="0"/>
        <w:ind w:left="360"/>
      </w:pPr>
      <w:r>
        <w:rPr>
          <w:rFonts w:ascii="Arial" w:cs="Arial" w:eastAsia="Arial" w:hAnsi="Arial"/>
          <w:sz w:val="20"/>
          <w:szCs w:val="20"/>
        </w:rPr>
        <w:t xml:space="preserve">El percentil k es el valor por debajo del cual cae el k% de las observaciones. En el ARI, P(x) = rankdata(x) / N es el rango percentil de x dentro del corpus completo de 85.277 EDOs, lo que hace al índice robusto a cambios de escala entre pacientes.</w:t>
      </w:r>
    </w:p>
    <w:p>
      <w:pPr>
        <w:spacing w:after="40" w:before="160"/>
      </w:pPr>
      <w:r>
        <w:rPr>
          <w:rFonts w:ascii="Arial" w:cs="Arial" w:eastAsia="Arial" w:hAnsi="Arial"/>
          <w:b/>
          <w:bCs/>
          <w:color w:val="2E75B6"/>
          <w:sz w:val="22"/>
          <w:szCs w:val="22"/>
        </w:rPr>
        <w:t xml:space="preserve">Pipeline</w:t>
      </w:r>
    </w:p>
    <w:p>
      <w:pPr>
        <w:spacing w:after="100" w:before="0"/>
        <w:ind w:left="360"/>
      </w:pPr>
      <w:r>
        <w:rPr>
          <w:rFonts w:ascii="Arial" w:cs="Arial" w:eastAsia="Arial" w:hAnsi="Arial"/>
          <w:sz w:val="20"/>
          <w:szCs w:val="20"/>
        </w:rPr>
        <w:t xml:space="preserve">Secuencia automatizada de pasos de procesamiento donde la salida de cada etapa es la entrada de la siguiente. El pipeline PAC_v3 implementa cuatro capas: Bronze → Silver → Events → Gold. Ver también: Capas del pipeline PAC_v3.</w:t>
      </w:r>
    </w:p>
    <w:p>
      <w:pPr>
        <w:spacing w:after="40" w:before="160"/>
      </w:pPr>
      <w:r>
        <w:rPr>
          <w:rFonts w:ascii="Arial" w:cs="Arial" w:eastAsia="Arial" w:hAnsi="Arial"/>
          <w:b/>
          <w:bCs/>
          <w:color w:val="2E75B6"/>
          <w:sz w:val="22"/>
          <w:szCs w:val="22"/>
        </w:rPr>
        <w:t xml:space="preserve">PPG (Fotopletismografía)</w:t>
      </w:r>
    </w:p>
    <w:p>
      <w:pPr>
        <w:spacing w:after="100" w:before="0"/>
        <w:ind w:left="360"/>
      </w:pPr>
      <w:r>
        <w:rPr>
          <w:rFonts w:ascii="Arial" w:cs="Arial" w:eastAsia="Arial" w:hAnsi="Arial"/>
          <w:sz w:val="20"/>
          <w:szCs w:val="20"/>
        </w:rPr>
        <w:t xml:space="preserve">Técnica óptica no invasiva que mide cambios volumétricos en la microcirculación cutánea mediante luz infrarroja. Base del pulsioxímetro para estimar SpO₂ y frecuencia cardíaca. La señal PPG es sensible a artefactos de movimiento, lo que requiere control de calidad de señal explícito.</w:t>
      </w:r>
    </w:p>
    <w:p>
      <w:pPr>
        <w:spacing w:after="40" w:before="160"/>
      </w:pPr>
      <w:r>
        <w:rPr>
          <w:rFonts w:ascii="Arial" w:cs="Arial" w:eastAsia="Arial" w:hAnsi="Arial"/>
          <w:b/>
          <w:bCs/>
          <w:color w:val="2E75B6"/>
          <w:sz w:val="22"/>
          <w:szCs w:val="22"/>
        </w:rPr>
        <w:t xml:space="preserve">PPV (Positive Predictive Value — Valor Predictivo Positivo)</w:t>
      </w:r>
    </w:p>
    <w:p>
      <w:pPr>
        <w:spacing w:after="100" w:before="0"/>
        <w:ind w:left="360"/>
      </w:pPr>
      <w:r>
        <w:rPr>
          <w:rFonts w:ascii="Arial" w:cs="Arial" w:eastAsia="Arial" w:hAnsi="Arial"/>
          <w:sz w:val="20"/>
          <w:szCs w:val="20"/>
        </w:rPr>
        <w:t xml:space="preserve">Fracción de predicciones positivas que son verdaderos positivos: PPV = TP / (TP + FP). En NB08 con umbral de Youden para H=5 min: PPV=20%, es decir, 1 de cada 5 alarmas corresponde a un evento severo real.</w:t>
      </w:r>
    </w:p>
    <w:p>
      <w:pPr>
        <w:spacing w:after="40" w:before="160"/>
      </w:pPr>
      <w:r>
        <w:rPr>
          <w:rFonts w:ascii="Arial" w:cs="Arial" w:eastAsia="Arial" w:hAnsi="Arial"/>
          <w:b/>
          <w:bCs/>
          <w:color w:val="2E75B6"/>
          <w:sz w:val="22"/>
          <w:szCs w:val="22"/>
        </w:rPr>
        <w:t xml:space="preserve">Predicción prospectiva</w:t>
      </w:r>
    </w:p>
    <w:p>
      <w:pPr>
        <w:spacing w:after="100" w:before="0"/>
        <w:ind w:left="360"/>
      </w:pPr>
      <w:r>
        <w:rPr>
          <w:rFonts w:ascii="Arial" w:cs="Arial" w:eastAsia="Arial" w:hAnsi="Arial"/>
          <w:sz w:val="20"/>
          <w:szCs w:val="20"/>
        </w:rPr>
        <w:t xml:space="preserve">Predicción de un evento futuro antes de que ocurra, con un margen temporal (lead time) explícito. Distinta de la clasificación condicional (NB07), que predice dado que el evento ya está en curso. En NB08, el modelo usa solo features backward-looking; no tiene acceso a la señal del evento mismo.</w:t>
      </w:r>
    </w:p>
    <w:p>
      <w:pPr>
        <w:spacing w:after="40" w:before="160"/>
      </w:pPr>
      <w:r>
        <w:rPr>
          <w:rFonts w:ascii="Arial" w:cs="Arial" w:eastAsia="Arial" w:hAnsi="Arial"/>
          <w:b/>
          <w:bCs/>
          <w:color w:val="2E75B6"/>
          <w:sz w:val="22"/>
          <w:szCs w:val="22"/>
        </w:rPr>
        <w:t xml:space="preserve">Predicción sobre ventanas deslizantes</w:t>
      </w:r>
    </w:p>
    <w:p>
      <w:pPr>
        <w:spacing w:after="100" w:before="0"/>
        <w:ind w:left="360"/>
      </w:pPr>
      <w:r>
        <w:rPr>
          <w:rFonts w:ascii="Arial" w:cs="Arial" w:eastAsia="Arial" w:hAnsi="Arial"/>
          <w:sz w:val="20"/>
          <w:szCs w:val="20"/>
        </w:rPr>
        <w:t xml:space="preserve">Esquema de predicción en el que el modelo evalúa ventanas temporales sucesivas (30 s en NB08) y emite una estimación de riesgo para cada una. Las features son backward-looking (calculadas sobre el historial previo). Genera 452.955 instancias de entrenamiento/evaluación sobre 540 noches de 8 pacientes.</w:t>
      </w:r>
    </w:p>
    <w:p>
      <w:pPr>
        <w:spacing w:after="40" w:before="160"/>
      </w:pPr>
      <w:r>
        <w:rPr>
          <w:rFonts w:ascii="Arial" w:cs="Arial" w:eastAsia="Arial" w:hAnsi="Arial"/>
          <w:b/>
          <w:bCs/>
          <w:color w:val="2E75B6"/>
          <w:sz w:val="22"/>
          <w:szCs w:val="22"/>
        </w:rPr>
        <w:t xml:space="preserve">Proyecto PAC (Proyecto de Procesamiento Autonómico Continuo)</w:t>
      </w:r>
    </w:p>
    <w:p>
      <w:pPr>
        <w:spacing w:after="100" w:before="0"/>
        <w:ind w:left="360"/>
      </w:pPr>
      <w:r>
        <w:rPr>
          <w:rFonts w:ascii="Arial" w:cs="Arial" w:eastAsia="Arial" w:hAnsi="Arial"/>
          <w:sz w:val="20"/>
          <w:szCs w:val="20"/>
        </w:rPr>
        <w:t xml:space="preserve">Marco metodológico reproducible para el análisis multiescala de series temporales fisiológicas nocturnas obtenidas mediante el SOMNI 6000. Opera en tres niveles: evento (morfotipos + ARI), noche (PAC States multiescala) y paciente (fenotipo longitudinal + modelos predictivos). Nombre completo oficial: Proyecto de Procesamiento Autonómico Continuo.</w:t>
      </w:r>
    </w:p>
    <w:p>
      <w:pPr>
        <w:spacing w:after="40" w:before="160"/>
      </w:pPr>
      <w:r>
        <w:rPr>
          <w:rFonts w:ascii="Arial" w:cs="Arial" w:eastAsia="Arial" w:hAnsi="Arial"/>
          <w:b/>
          <w:bCs/>
          <w:color w:val="2E75B6"/>
          <w:sz w:val="22"/>
          <w:szCs w:val="22"/>
        </w:rPr>
        <w:t xml:space="preserve">PSG (Polisomnografía)</w:t>
      </w:r>
    </w:p>
    <w:p>
      <w:pPr>
        <w:spacing w:after="100" w:before="0"/>
        <w:ind w:left="360"/>
      </w:pPr>
      <w:r>
        <w:rPr>
          <w:rFonts w:ascii="Arial" w:cs="Arial" w:eastAsia="Arial" w:hAnsi="Arial"/>
          <w:sz w:val="20"/>
          <w:szCs w:val="20"/>
        </w:rPr>
        <w:t xml:space="preserve">Estudio diagnóstico de referencia para el SAOS. Registra simultáneamente EEG, EOG, EMG, flujo aéreo, esfuerzo ventilatorio, SpO₂ y ECG durante una noche en laboratorio. No disponible en la cohorte del Proyecto PAC; su ausencia implica que el AHI no puede calcularse directamente.</w:t>
      </w:r>
    </w:p>
    <w:p>
      <w:pPr>
        <w:spacing w:after="40" w:before="160"/>
      </w:pPr>
      <w:r>
        <w:rPr>
          <w:rFonts w:ascii="Arial" w:cs="Arial" w:eastAsia="Arial" w:hAnsi="Arial"/>
          <w:b/>
          <w:bCs/>
          <w:color w:val="2E75B6"/>
          <w:sz w:val="22"/>
          <w:szCs w:val="22"/>
        </w:rPr>
        <w:t xml:space="preserve">Punto de corte / Umbral de clasificación</w:t>
      </w:r>
    </w:p>
    <w:p>
      <w:pPr>
        <w:spacing w:after="100" w:before="0"/>
        <w:ind w:left="360"/>
      </w:pPr>
      <w:r>
        <w:rPr>
          <w:rFonts w:ascii="Arial" w:cs="Arial" w:eastAsia="Arial" w:hAnsi="Arial"/>
          <w:sz w:val="20"/>
          <w:szCs w:val="20"/>
        </w:rPr>
        <w:t xml:space="preserve">Valor de probabilidad predicha a partir del cual un clasificador asigna la clase positiva. Afecta directamente el balance entre sensibilidad y especificidad. El índice de Youden (J = sensibilidad + especificidad − 1) identifica el umbral que maximiza la suma de ambas métricas.</w:t>
      </w:r>
    </w:p>
    <w:p>
      <w:pPr>
        <w:spacing w:after="40" w:before="160"/>
      </w:pPr>
      <w:r>
        <w:rPr>
          <w:rFonts w:ascii="Arial" w:cs="Arial" w:eastAsia="Arial" w:hAnsi="Arial"/>
          <w:b/>
          <w:bCs/>
          <w:color w:val="2E75B6"/>
          <w:sz w:val="22"/>
          <w:szCs w:val="22"/>
        </w:rPr>
        <w:t xml:space="preserve">Quimiorreceptor / Quimiosensibilidad</w:t>
      </w:r>
    </w:p>
    <w:p>
      <w:pPr>
        <w:spacing w:after="100" w:before="0"/>
        <w:ind w:left="360"/>
      </w:pPr>
      <w:r>
        <w:rPr>
          <w:rFonts w:ascii="Arial" w:cs="Arial" w:eastAsia="Arial" w:hAnsi="Arial"/>
          <w:sz w:val="20"/>
          <w:szCs w:val="20"/>
        </w:rPr>
        <w:t xml:space="preserve">Los quimiorreceptores centrales (bulbo raquídeo) y periféricos (cuerpos carotídeos) detectan cambios en PaO₂, PaCO₂ y pH sanguíneo, modulando la respuesta ventilatoria. Una quimiosensibilidad elevada aumenta el loop gain y puede contribuir a la inestabilidad respiratoria en el SAOS.</w:t>
      </w:r>
    </w:p>
    <w:p>
      <w:pPr>
        <w:spacing w:after="40" w:before="160"/>
      </w:pPr>
      <w:r>
        <w:rPr>
          <w:rFonts w:ascii="Arial" w:cs="Arial" w:eastAsia="Arial" w:hAnsi="Arial"/>
          <w:b/>
          <w:bCs/>
          <w:color w:val="2E75B6"/>
          <w:sz w:val="22"/>
          <w:szCs w:val="22"/>
        </w:rPr>
        <w:t xml:space="preserve">r — Coeficiente de correlación de Pearson</w:t>
      </w:r>
    </w:p>
    <w:p>
      <w:pPr>
        <w:spacing w:after="100" w:before="0"/>
        <w:ind w:left="360"/>
      </w:pPr>
      <w:r>
        <w:rPr>
          <w:rFonts w:ascii="Arial" w:cs="Arial" w:eastAsia="Arial" w:hAnsi="Arial"/>
          <w:sz w:val="20"/>
          <w:szCs w:val="20"/>
        </w:rPr>
        <w:t xml:space="preserve">Coeficiente de correlación lineal entre dos variables continuas. Asume distribución normal y relación lineal. Rango [−1, 1]. Se distingue del ρ de Spearman en que mide correlación lineal (no monótona). En el Proyecto PAC se usa principalmente Spearman (ρ) por la no normalidad de varias distribuciones.</w:t>
      </w:r>
    </w:p>
    <w:p>
      <w:pPr>
        <w:spacing w:after="40" w:before="160"/>
      </w:pPr>
      <w:r>
        <w:rPr>
          <w:rFonts w:ascii="Arial" w:cs="Arial" w:eastAsia="Arial" w:hAnsi="Arial"/>
          <w:b/>
          <w:bCs/>
          <w:color w:val="2E75B6"/>
          <w:sz w:val="22"/>
          <w:szCs w:val="22"/>
        </w:rPr>
        <w:t xml:space="preserve">Rango intercuartílico (IQR)</w:t>
      </w:r>
    </w:p>
    <w:p>
      <w:pPr>
        <w:spacing w:after="100" w:before="0"/>
        <w:ind w:left="360"/>
      </w:pPr>
      <w:r>
        <w:rPr>
          <w:rFonts w:ascii="Arial" w:cs="Arial" w:eastAsia="Arial" w:hAnsi="Arial"/>
          <w:sz w:val="20"/>
          <w:szCs w:val="20"/>
        </w:rPr>
        <w:t xml:space="preserve">Diferencia entre el tercer y el primer cuartil (Q3 − Q1). Mide la dispersión del 50% central de la distribución; robusto a valores extremos. Complementa a la desviación estándar en distribuciones asimétricas.</w:t>
      </w:r>
    </w:p>
    <w:p>
      <w:pPr>
        <w:spacing w:after="40" w:before="160"/>
      </w:pPr>
      <w:r>
        <w:rPr>
          <w:rFonts w:ascii="Arial" w:cs="Arial" w:eastAsia="Arial" w:hAnsi="Arial"/>
          <w:b/>
          <w:bCs/>
          <w:color w:val="2E75B6"/>
          <w:sz w:val="22"/>
          <w:szCs w:val="22"/>
        </w:rPr>
        <w:t xml:space="preserve">Regresión logística regularizada (LR)</w:t>
      </w:r>
    </w:p>
    <w:p>
      <w:pPr>
        <w:spacing w:after="100" w:before="0"/>
        <w:ind w:left="360"/>
      </w:pPr>
      <w:r>
        <w:rPr>
          <w:rFonts w:ascii="Arial" w:cs="Arial" w:eastAsia="Arial" w:hAnsi="Arial"/>
          <w:sz w:val="20"/>
          <w:szCs w:val="20"/>
        </w:rPr>
        <w:t xml:space="preserve">Modelo lineal generalizado para clasificación binaria que estima la probabilidad de la clase positiva mediante la función sigmoide. La regularización (L1/L2) penaliza los coeficientes grandes para reducir el sobreajuste. Baseline interpretable en los análisis NB07 y NB08 del Proyecto PAC.</w:t>
      </w:r>
    </w:p>
    <w:p>
      <w:pPr>
        <w:spacing w:after="40" w:before="160"/>
      </w:pPr>
      <w:r>
        <w:rPr>
          <w:rFonts w:ascii="Arial" w:cs="Arial" w:eastAsia="Arial" w:hAnsi="Arial"/>
          <w:b/>
          <w:bCs/>
          <w:color w:val="2E75B6"/>
          <w:sz w:val="22"/>
          <w:szCs w:val="22"/>
        </w:rPr>
        <w:t xml:space="preserve">Resiliencia post-evento severo</w:t>
      </w:r>
    </w:p>
    <w:p>
      <w:pPr>
        <w:spacing w:after="100" w:before="0"/>
        <w:ind w:left="360"/>
      </w:pPr>
      <w:r>
        <w:rPr>
          <w:rFonts w:ascii="Arial" w:cs="Arial" w:eastAsia="Arial" w:hAnsi="Arial"/>
          <w:sz w:val="20"/>
          <w:szCs w:val="20"/>
        </w:rPr>
        <w:t xml:space="preserve">Velocidad con la que el sistema PAC regresa a un estado no patológico tras un evento severo (C4/C5). Estimada en: S=43,3% en la ventana siguiente / M=12,3% / L=1,3%. La inercia del sistema crece con la escala temporal.</w:t>
      </w:r>
    </w:p>
    <w:p>
      <w:pPr>
        <w:spacing w:after="40" w:before="160"/>
      </w:pPr>
      <w:r>
        <w:rPr>
          <w:rFonts w:ascii="Arial" w:cs="Arial" w:eastAsia="Arial" w:hAnsi="Arial"/>
          <w:b/>
          <w:bCs/>
          <w:color w:val="2E75B6"/>
          <w:sz w:val="22"/>
          <w:szCs w:val="22"/>
        </w:rPr>
        <w:t xml:space="preserve">Risk Score PAC (0–100)</w:t>
      </w:r>
    </w:p>
    <w:p>
      <w:pPr>
        <w:spacing w:after="100" w:before="0"/>
        <w:ind w:left="360"/>
      </w:pPr>
      <w:r>
        <w:rPr>
          <w:rFonts w:ascii="Arial" w:cs="Arial" w:eastAsia="Arial" w:hAnsi="Arial"/>
          <w:sz w:val="20"/>
          <w:szCs w:val="20"/>
        </w:rPr>
        <w:t xml:space="preserve">Índice de riesgo compuesto retrospectivo calculado como 0,40 × p_ev_norm + 0,60 × p_high_risk_night. Se calcula sobre la noche ya procesada (al día siguiente); no es un sistema de monitoreo en tiempo real. Útil para fenotipado post-diagnóstico y seguimiento longitudinal. Ver también: Índice de riesgo compuesto.</w:t>
      </w:r>
    </w:p>
    <w:p>
      <w:pPr>
        <w:spacing w:after="40" w:before="160"/>
      </w:pPr>
      <w:r>
        <w:rPr>
          <w:rFonts w:ascii="Arial" w:cs="Arial" w:eastAsia="Arial" w:hAnsi="Arial"/>
          <w:b/>
          <w:bCs/>
          <w:color w:val="2E75B6"/>
          <w:sz w:val="22"/>
          <w:szCs w:val="22"/>
        </w:rPr>
        <w:t xml:space="preserve">SAOS (Síndrome de Apneas Obstructivas del Sueño)</w:t>
      </w:r>
    </w:p>
    <w:p>
      <w:pPr>
        <w:spacing w:after="100" w:before="0"/>
        <w:ind w:left="360"/>
      </w:pPr>
      <w:r>
        <w:rPr>
          <w:rFonts w:ascii="Arial" w:cs="Arial" w:eastAsia="Arial" w:hAnsi="Arial"/>
          <w:sz w:val="20"/>
          <w:szCs w:val="20"/>
        </w:rPr>
        <w:t xml:space="preserve">Trastorno respiratorio del sueño caracterizado por episodios recurrentes de colapso parcial o total de la vía aérea superior durante el sueño. Prevalencia estimada: 15–30% en adultos. Genera desaturaciones de oxígeno, activación autonómica y fragmentación del sueño con consecuencias cardiovasculares y neurocognitivas.</w:t>
      </w:r>
    </w:p>
    <w:p>
      <w:pPr>
        <w:spacing w:after="40" w:before="160"/>
      </w:pPr>
      <w:r>
        <w:rPr>
          <w:rFonts w:ascii="Arial" w:cs="Arial" w:eastAsia="Arial" w:hAnsi="Arial"/>
          <w:b/>
          <w:bCs/>
          <w:color w:val="2E75B6"/>
          <w:sz w:val="22"/>
          <w:szCs w:val="22"/>
        </w:rPr>
        <w:t xml:space="preserve">scale_pos_weight</w:t>
      </w:r>
    </w:p>
    <w:p>
      <w:pPr>
        <w:spacing w:after="100" w:before="0"/>
        <w:ind w:left="360"/>
      </w:pPr>
      <w:r>
        <w:rPr>
          <w:rFonts w:ascii="Arial" w:cs="Arial" w:eastAsia="Arial" w:hAnsi="Arial"/>
          <w:sz w:val="20"/>
          <w:szCs w:val="20"/>
        </w:rPr>
        <w:t xml:space="preserve">Hiperparámetro del LightGBM (Gradiente potenciado) que pondera los ejemplos de la clase positiva para compensar el desbalance de clases. En NB08 se optó por pesos uniformes (sin scale_pos_weight) para obtener rankings de riesgo útiles, aceptando la sobreestimación de probabilidades absolutas (~4×).</w:t>
      </w:r>
    </w:p>
    <w:p>
      <w:pPr>
        <w:spacing w:after="40" w:before="160"/>
      </w:pPr>
      <w:r>
        <w:rPr>
          <w:rFonts w:ascii="Arial" w:cs="Arial" w:eastAsia="Arial" w:hAnsi="Arial"/>
          <w:b/>
          <w:bCs/>
          <w:color w:val="2E75B6"/>
          <w:sz w:val="22"/>
          <w:szCs w:val="22"/>
        </w:rPr>
        <w:t xml:space="preserve">Sensibilidad / Especificidad</w:t>
      </w:r>
    </w:p>
    <w:p>
      <w:pPr>
        <w:spacing w:after="100" w:before="0"/>
        <w:ind w:left="360"/>
      </w:pPr>
      <w:r>
        <w:rPr>
          <w:rFonts w:ascii="Arial" w:cs="Arial" w:eastAsia="Arial" w:hAnsi="Arial"/>
          <w:sz w:val="20"/>
          <w:szCs w:val="20"/>
        </w:rPr>
        <w:t xml:space="preserve">Sensibilidad (exhaustividad): proporción de positivos reales correctamente identificados, TP / (TP + FN). Especificidad: proporción de negativos reales correctamente rechazados, TN / (TN + FP). En NB08 con umbral de Youden para H=5 min: Sensibilidad = 76%, Especificidad = 74%.</w:t>
      </w:r>
    </w:p>
    <w:p>
      <w:pPr>
        <w:spacing w:after="40" w:before="160"/>
      </w:pPr>
      <w:r>
        <w:rPr>
          <w:rFonts w:ascii="Arial" w:cs="Arial" w:eastAsia="Arial" w:hAnsi="Arial"/>
          <w:b/>
          <w:bCs/>
          <w:color w:val="2E75B6"/>
          <w:sz w:val="22"/>
          <w:szCs w:val="22"/>
        </w:rPr>
        <w:t xml:space="preserve">Overfitting (sobreajuste)</w:t>
      </w:r>
    </w:p>
    <w:p>
      <w:pPr>
        <w:spacing w:after="100" w:before="0"/>
        <w:ind w:left="360"/>
      </w:pPr>
      <w:r>
        <w:rPr>
          <w:rFonts w:ascii="Arial" w:cs="Arial" w:eastAsia="Arial" w:hAnsi="Arial"/>
          <w:sz w:val="20"/>
          <w:szCs w:val="20"/>
        </w:rPr>
        <w:t xml:space="preserve">Fenómeno por el cual un modelo aprende patrones específicos del conjunto de entrenamiento —incluyendo ruido— y no generaliza a datos nuevos. La validación cruzada LOPO protege contra el sobreajuste en datos longitudinales con estructura por paciente.</w:t>
      </w:r>
    </w:p>
    <w:p>
      <w:pPr>
        <w:spacing w:after="40" w:before="160"/>
      </w:pPr>
      <w:r>
        <w:rPr>
          <w:rFonts w:ascii="Arial" w:cs="Arial" w:eastAsia="Arial" w:hAnsi="Arial"/>
          <w:b/>
          <w:bCs/>
          <w:color w:val="2E75B6"/>
          <w:sz w:val="22"/>
          <w:szCs w:val="22"/>
        </w:rPr>
        <w:t xml:space="preserve">SOMNI 6000</w:t>
      </w:r>
    </w:p>
    <w:p>
      <w:pPr>
        <w:spacing w:after="100" w:before="0"/>
        <w:ind w:left="360"/>
      </w:pPr>
      <w:r>
        <w:rPr>
          <w:rFonts w:ascii="Arial" w:cs="Arial" w:eastAsia="Arial" w:hAnsi="Arial"/>
          <w:sz w:val="20"/>
          <w:szCs w:val="20"/>
        </w:rPr>
        <w:t xml:space="preserve">Dispositivo portátil aprobado por ANMAT que integra pulsioxímetro y estimulador eléctrico transcutáneo en un sensor de dedo no invasivo. Registra SpO₂, FC y MOV a 1 Hz con transmisión Bluetooth LE. La habilitación del estimulador como intervención terapéutica preventiva es una hipótesis operacional pendiente de ensayo clínico controlado.</w:t>
      </w:r>
    </w:p>
    <w:p>
      <w:pPr>
        <w:spacing w:after="40" w:before="160"/>
      </w:pPr>
      <w:r>
        <w:rPr>
          <w:rFonts w:ascii="Arial" w:cs="Arial" w:eastAsia="Arial" w:hAnsi="Arial"/>
          <w:b/>
          <w:bCs/>
          <w:color w:val="2E75B6"/>
          <w:sz w:val="22"/>
          <w:szCs w:val="22"/>
        </w:rPr>
        <w:t xml:space="preserve">SpO₂ (Saturación periférica de oxígeno)</w:t>
      </w:r>
    </w:p>
    <w:p>
      <w:pPr>
        <w:spacing w:after="100" w:before="0"/>
        <w:ind w:left="360"/>
      </w:pPr>
      <w:r>
        <w:rPr>
          <w:rFonts w:ascii="Arial" w:cs="Arial" w:eastAsia="Arial" w:hAnsi="Arial"/>
          <w:sz w:val="20"/>
          <w:szCs w:val="20"/>
        </w:rPr>
        <w:t xml:space="preserve">Fracción de hemoglobina oxigenada en sangre periférica, medida por pulsioximetría. Señal primaria del Proyecto PAC, registrada a 1 Hz. Rango normal en vigilia: 95–100%. Valores &lt; 90% durante el sueño indican hipoxemia significativa (T90).</w:t>
      </w:r>
    </w:p>
    <w:p>
      <w:pPr>
        <w:spacing w:after="40" w:before="160"/>
      </w:pPr>
      <w:r>
        <w:rPr>
          <w:rFonts w:ascii="Arial" w:cs="Arial" w:eastAsia="Arial" w:hAnsi="Arial"/>
          <w:b/>
          <w:bCs/>
          <w:color w:val="2E75B6"/>
          <w:sz w:val="22"/>
          <w:szCs w:val="22"/>
        </w:rPr>
        <w:t xml:space="preserve">Sueño REM / NREM</w:t>
      </w:r>
    </w:p>
    <w:p>
      <w:pPr>
        <w:spacing w:after="100" w:before="0"/>
        <w:ind w:left="360"/>
      </w:pPr>
      <w:r>
        <w:rPr>
          <w:rFonts w:ascii="Arial" w:cs="Arial" w:eastAsia="Arial" w:hAnsi="Arial"/>
          <w:sz w:val="20"/>
          <w:szCs w:val="20"/>
        </w:rPr>
        <w:t xml:space="preserve">Las dos grandes fases del sueño humano. NREM incluye sueño ligero (N1, N2) y sueño profundo (N3). REM (Rapid Eye Movement): tono muscular reducido, movimientos oculares rápidos, sueños vívidos. El SAOS tiende a ser más severo en REM y en posición supina.</w:t>
      </w:r>
    </w:p>
    <w:p>
      <w:pPr>
        <w:spacing w:after="40" w:before="160"/>
      </w:pPr>
      <w:r>
        <w:rPr>
          <w:rFonts w:ascii="Arial" w:cs="Arial" w:eastAsia="Arial" w:hAnsi="Arial"/>
          <w:b/>
          <w:bCs/>
          <w:color w:val="2E75B6"/>
          <w:sz w:val="22"/>
          <w:szCs w:val="22"/>
        </w:rPr>
        <w:t xml:space="preserve">T90</w:t>
      </w:r>
    </w:p>
    <w:p>
      <w:pPr>
        <w:spacing w:after="100" w:before="0"/>
        <w:ind w:left="360"/>
      </w:pPr>
      <w:r>
        <w:rPr>
          <w:rFonts w:ascii="Arial" w:cs="Arial" w:eastAsia="Arial" w:hAnsi="Arial"/>
          <w:sz w:val="20"/>
          <w:szCs w:val="20"/>
        </w:rPr>
        <w:t xml:space="preserve">Porcentaje del tiempo de sueño con SpO₂ &lt; 90%. Métrica de carga hipóxica acumulada. En el Proyecto PAC, M1 (PAC States escala M) es el mejor predictor de T90 (ρ = +0,744).</w:t>
      </w:r>
    </w:p>
    <w:p>
      <w:pPr>
        <w:spacing w:after="40" w:before="160"/>
      </w:pPr>
      <w:r>
        <w:rPr>
          <w:rFonts w:ascii="Arial" w:cs="Arial" w:eastAsia="Arial" w:hAnsi="Arial"/>
          <w:b/>
          <w:bCs/>
          <w:color w:val="2E75B6"/>
          <w:sz w:val="22"/>
          <w:szCs w:val="22"/>
        </w:rPr>
        <w:t xml:space="preserve">Trayectoria nocturna</w:t>
      </w:r>
    </w:p>
    <w:p>
      <w:pPr>
        <w:spacing w:after="100" w:before="0"/>
        <w:ind w:left="360"/>
      </w:pPr>
      <w:r>
        <w:rPr>
          <w:rFonts w:ascii="Arial" w:cs="Arial" w:eastAsia="Arial" w:hAnsi="Arial"/>
          <w:sz w:val="20"/>
          <w:szCs w:val="20"/>
        </w:rPr>
        <w:t xml:space="preserve">Secuencia de estados PAC a lo largo de una noche, que describe la evolución fisiológica del paciente. El Proyecto PAC identifica tres fenotipos de trayectoria mediante agrupamiento (K=3): Estable-Protector (50%), Carga Intermedia (35%) y Carga Hipóxica Alta (15%).</w:t>
      </w:r>
    </w:p>
    <w:p>
      <w:pPr>
        <w:spacing w:after="40" w:before="160"/>
      </w:pPr>
      <w:r>
        <w:rPr>
          <w:rFonts w:ascii="Arial" w:cs="Arial" w:eastAsia="Arial" w:hAnsi="Arial"/>
          <w:b/>
          <w:bCs/>
          <w:color w:val="2E75B6"/>
          <w:sz w:val="22"/>
          <w:szCs w:val="22"/>
        </w:rPr>
        <w:t xml:space="preserve">V de Cramér</w:t>
      </w:r>
    </w:p>
    <w:p>
      <w:pPr>
        <w:spacing w:after="100" w:before="0"/>
        <w:ind w:left="360"/>
      </w:pPr>
      <w:r>
        <w:rPr>
          <w:rFonts w:ascii="Arial" w:cs="Arial" w:eastAsia="Arial" w:hAnsi="Arial"/>
          <w:sz w:val="20"/>
          <w:szCs w:val="20"/>
        </w:rPr>
        <w:t xml:space="preserve">Medida de asociación entre dos variables categóricas, derivada del estadístico Chi-cuadrado (χ²) y normalizada entre 0 y 1. V=0: independencia; V=1: asociación perfecta. Usada en el Proyecto PAC para cuantificar el acoplamiento morfotipo–estado: S=0,356 / M=0,231 / L=0,196. Ver también: Chi-cuadrado.</w:t>
      </w:r>
    </w:p>
    <w:p>
      <w:pPr>
        <w:spacing w:after="40" w:before="160"/>
      </w:pPr>
      <w:r>
        <w:rPr>
          <w:rFonts w:ascii="Arial" w:cs="Arial" w:eastAsia="Arial" w:hAnsi="Arial"/>
          <w:b/>
          <w:bCs/>
          <w:color w:val="2E75B6"/>
          <w:sz w:val="22"/>
          <w:szCs w:val="22"/>
        </w:rPr>
        <w:t xml:space="preserve">LOPO-CV (Leave-One-Patient-Out)</w:t>
      </w:r>
    </w:p>
    <w:p>
      <w:pPr>
        <w:spacing w:after="100" w:before="0"/>
        <w:ind w:left="360"/>
      </w:pPr>
      <w:r>
        <w:rPr>
          <w:rFonts w:ascii="Arial" w:cs="Arial" w:eastAsia="Arial" w:hAnsi="Arial"/>
          <w:sz w:val="20"/>
          <w:szCs w:val="20"/>
        </w:rPr>
        <w:t xml:space="preserve">Esquema de validación cruzada donde cada fold excluye todas las noches de un paciente. Previene la fuga de información entre noches del mismo paciente. El n efectivo es el número de pacientes (8 en la cohorte estricta), no el de noches (540). Estándar de validación de todos los modelos supervisados del Proyecto PAC.</w:t>
      </w:r>
    </w:p>
    <w:p>
      <w:pPr>
        <w:spacing w:after="40" w:before="160"/>
      </w:pPr>
      <w:r>
        <w:rPr>
          <w:rFonts w:ascii="Arial" w:cs="Arial" w:eastAsia="Arial" w:hAnsi="Arial"/>
          <w:b/>
          <w:bCs/>
          <w:color w:val="2E75B6"/>
          <w:sz w:val="22"/>
          <w:szCs w:val="22"/>
        </w:rPr>
        <w:t xml:space="preserve">SHAP (SHapley Additive exPlanations)</w:t>
      </w:r>
    </w:p>
    <w:p>
      <w:pPr>
        <w:spacing w:after="100" w:before="0"/>
        <w:ind w:left="360"/>
      </w:pPr>
      <w:r>
        <w:rPr>
          <w:rFonts w:ascii="Arial" w:cs="Arial" w:eastAsia="Arial" w:hAnsi="Arial"/>
          <w:sz w:val="20"/>
          <w:szCs w:val="20"/>
        </w:rPr>
        <w:t xml:space="preserve">Marco de interpretabilidad de modelos de ML basado en la teoría de juegos cooperativos de Shapley. Asigna a cada feature una contribución marginal promedio a la predicción de cada instancia. Permite identificar qué variables impulsan predicciones individuales, no solo el modelo global.</w:t>
      </w:r>
    </w:p>
    <w:p>
      <w:pPr>
        <w:spacing w:after="40" w:before="160"/>
      </w:pPr>
      <w:r>
        <w:rPr>
          <w:rFonts w:ascii="Arial" w:cs="Arial" w:eastAsia="Arial" w:hAnsi="Arial"/>
          <w:b/>
          <w:bCs/>
          <w:color w:val="2E75B6"/>
          <w:sz w:val="22"/>
          <w:szCs w:val="22"/>
        </w:rPr>
        <w:t xml:space="preserve">Variabilidad de la frecuencia cardíaca (HRV)</w:t>
      </w:r>
    </w:p>
    <w:p>
      <w:pPr>
        <w:spacing w:after="100" w:before="0"/>
        <w:ind w:left="360"/>
      </w:pPr>
      <w:r>
        <w:rPr>
          <w:rFonts w:ascii="Arial" w:cs="Arial" w:eastAsia="Arial" w:hAnsi="Arial"/>
          <w:sz w:val="20"/>
          <w:szCs w:val="20"/>
        </w:rPr>
        <w:t xml:space="preserve">Fluctuaciones en el intervalo entre latidos cardíacos consecutivos. Refleja el balance autonómico simpático-parasimpático. El Proyecto PAC no analiza HRV en sentido estricto, pero el hr_gain del ARI captura la respuesta cardíaca inmediata a cada evento hipóxico como proxy de la reactividad autonómica.</w:t>
      </w:r>
    </w:p>
    <w:p>
      <w:pPr>
        <w:spacing w:after="40" w:before="160"/>
      </w:pPr>
      <w:r>
        <w:rPr>
          <w:rFonts w:ascii="Arial" w:cs="Arial" w:eastAsia="Arial" w:hAnsi="Arial"/>
          <w:b/>
          <w:bCs/>
          <w:color w:val="2E75B6"/>
          <w:sz w:val="22"/>
          <w:szCs w:val="22"/>
        </w:rPr>
        <w:t xml:space="preserve">Variabilidad noche a noche</w:t>
      </w:r>
    </w:p>
    <w:p>
      <w:pPr>
        <w:spacing w:after="100" w:before="0"/>
        <w:ind w:left="360"/>
      </w:pPr>
      <w:r>
        <w:rPr>
          <w:rFonts w:ascii="Arial" w:cs="Arial" w:eastAsia="Arial" w:hAnsi="Arial"/>
          <w:sz w:val="20"/>
          <w:szCs w:val="20"/>
        </w:rPr>
        <w:t xml:space="preserve">Diferencias en el perfil fisiológico de un mismo paciente entre noches distintas (postura, alcohol, fatiga, medicación). En el Proyecto PAC esta variabilidad es información, no ruido. El ODI3 necesita ~7 noches para estabilizarse; el ARI es estable desde la primera noche.</w:t>
      </w:r>
    </w:p>
    <w:p>
      <w:pPr>
        <w:spacing w:after="40" w:before="160"/>
      </w:pPr>
      <w:r>
        <w:rPr>
          <w:rFonts w:ascii="Arial" w:cs="Arial" w:eastAsia="Arial" w:hAnsi="Arial"/>
          <w:b/>
          <w:bCs/>
          <w:color w:val="2E75B6"/>
          <w:sz w:val="22"/>
          <w:szCs w:val="22"/>
        </w:rPr>
        <w:t xml:space="preserve">Ventana deslizante (sliding window) — Predicción sobre ventanas deslizantes</w:t>
      </w:r>
    </w:p>
    <w:p>
      <w:pPr>
        <w:spacing w:after="100" w:before="0"/>
        <w:ind w:left="360"/>
      </w:pPr>
      <w:r>
        <w:rPr>
          <w:rFonts w:ascii="Arial" w:cs="Arial" w:eastAsia="Arial" w:hAnsi="Arial"/>
          <w:sz w:val="20"/>
          <w:szCs w:val="20"/>
        </w:rPr>
        <w:t xml:space="preserve">Segmento temporal de longitud fija desplazado a lo largo de la serie temporal. En NB08, ventanas de 30 s sin solapamiento generan 452.955 instancias. Las features son backward-looking: calculadas sobre el historial fisiológico previo, sin acceso a la señal futura. Ver también: Predicción sobre ventanas deslizantes.</w:t>
      </w:r>
    </w:p>
    <w:p>
      <w:pPr>
        <w:spacing w:after="40" w:before="160"/>
      </w:pPr>
      <w:r>
        <w:rPr>
          <w:rFonts w:ascii="Arial" w:cs="Arial" w:eastAsia="Arial" w:hAnsi="Arial"/>
          <w:b/>
          <w:bCs/>
          <w:color w:val="2E75B6"/>
          <w:sz w:val="22"/>
          <w:szCs w:val="22"/>
        </w:rPr>
        <w:t xml:space="preserve">Activación autonómica</w:t>
      </w:r>
    </w:p>
    <w:p>
      <w:pPr>
        <w:spacing w:after="100" w:before="0"/>
        <w:ind w:left="360"/>
      </w:pPr>
      <w:r>
        <w:rPr>
          <w:rFonts w:ascii="Arial" w:cs="Arial" w:eastAsia="Arial" w:hAnsi="Arial"/>
          <w:sz w:val="20"/>
          <w:szCs w:val="20"/>
        </w:rPr>
        <w:t xml:space="preserve">Respuesta del sistema nervioso autónomo ante un estímulo fisiológico, como la hipoxia o el colapso de la vía aérea. En el SAOS, cada evento obstructivo genera una activación autonómica que incluye taquicardia, vasoconstricción, aumento de la presión arterial y, frecuentemente, un microdespertar. El ARI del Proyecto PAC cuantifica la magnitud de esta activación por unidad de estímulo hipóxico.</w:t>
      </w:r>
    </w:p>
    <w:p>
      <w:pPr>
        <w:spacing w:after="40" w:before="160"/>
      </w:pPr>
      <w:r>
        <w:rPr>
          <w:rFonts w:ascii="Arial" w:cs="Arial" w:eastAsia="Arial" w:hAnsi="Arial"/>
          <w:b/>
          <w:bCs/>
          <w:color w:val="2E75B6"/>
          <w:sz w:val="22"/>
          <w:szCs w:val="22"/>
        </w:rPr>
        <w:t xml:space="preserve">Compensación muscular</w:t>
      </w:r>
    </w:p>
    <w:p>
      <w:pPr>
        <w:spacing w:after="100" w:before="0"/>
        <w:ind w:left="360"/>
      </w:pPr>
      <w:r>
        <w:rPr>
          <w:rFonts w:ascii="Arial" w:cs="Arial" w:eastAsia="Arial" w:hAnsi="Arial"/>
          <w:sz w:val="20"/>
          <w:szCs w:val="20"/>
        </w:rPr>
        <w:t xml:space="preserve">Capacidad de los músculos dilatadores de la vía aérea superior (principalmente el geniogloso) para responder al aumento de la presión negativa faríngea y mantener la permeabilidad de la vía aérea durante el sueño. Una compensación muscular insuficiente es uno de los endotipos fisiopatológicos del SAOS.</w:t>
      </w:r>
    </w:p>
    <w:p>
      <w:pPr>
        <w:spacing w:after="40" w:before="160"/>
      </w:pPr>
      <w:r>
        <w:rPr>
          <w:rFonts w:ascii="Arial" w:cs="Arial" w:eastAsia="Arial" w:hAnsi="Arial"/>
          <w:b/>
          <w:bCs/>
          <w:color w:val="2E75B6"/>
          <w:sz w:val="22"/>
          <w:szCs w:val="22"/>
        </w:rPr>
        <w:t xml:space="preserve">Ganancia del lazo ventilatorio</w:t>
      </w:r>
    </w:p>
    <w:p>
      <w:pPr>
        <w:spacing w:after="100" w:before="0"/>
        <w:ind w:left="360"/>
      </w:pPr>
      <w:r>
        <w:rPr>
          <w:rFonts w:ascii="Arial" w:cs="Arial" w:eastAsia="Arial" w:hAnsi="Arial"/>
          <w:sz w:val="20"/>
          <w:szCs w:val="20"/>
        </w:rPr>
        <w:t xml:space="preserve">Ver: Loop gain (ganancia del lazo ventilatorio).</w:t>
      </w:r>
    </w:p>
    <w:p>
      <w:pPr>
        <w:spacing w:after="40" w:before="160"/>
      </w:pPr>
      <w:r>
        <w:rPr>
          <w:rFonts w:ascii="Arial" w:cs="Arial" w:eastAsia="Arial" w:hAnsi="Arial"/>
          <w:b/>
          <w:bCs/>
          <w:color w:val="2E75B6"/>
          <w:sz w:val="22"/>
          <w:szCs w:val="22"/>
        </w:rPr>
        <w:t xml:space="preserve">Hipoxia</w:t>
      </w:r>
    </w:p>
    <w:p>
      <w:pPr>
        <w:spacing w:after="100" w:before="0"/>
        <w:ind w:left="360"/>
      </w:pPr>
      <w:r>
        <w:rPr>
          <w:rFonts w:ascii="Arial" w:cs="Arial" w:eastAsia="Arial" w:hAnsi="Arial"/>
          <w:sz w:val="20"/>
          <w:szCs w:val="20"/>
        </w:rPr>
        <w:t xml:space="preserve">Reducción del aporte de oxígeno a los tejidos. Se distingue de la hipoxemia (bajo nivel de oxígeno en sangre): la hipoxemia es la causa más frecuente de hipoxia, pero no la única. En el SAOS, los episodios repetidos de hipoxia intermitente durante el sueño se asocian a consecuencias cardiovasculares, metabólicas y neurocognitivas a largo plazo.</w:t>
      </w:r>
    </w:p>
    <w:p>
      <w:pPr>
        <w:spacing w:after="40" w:before="160"/>
      </w:pPr>
      <w:r>
        <w:rPr>
          <w:rFonts w:ascii="Arial" w:cs="Arial" w:eastAsia="Arial" w:hAnsi="Arial"/>
          <w:b/>
          <w:bCs/>
          <w:color w:val="2E75B6"/>
          <w:sz w:val="22"/>
          <w:szCs w:val="22"/>
        </w:rPr>
        <w:t xml:space="preserve">Microdespertares</w:t>
      </w:r>
    </w:p>
    <w:p>
      <w:pPr>
        <w:spacing w:after="100" w:before="0"/>
        <w:ind w:left="360"/>
      </w:pPr>
      <w:r>
        <w:rPr>
          <w:rFonts w:ascii="Arial" w:cs="Arial" w:eastAsia="Arial" w:hAnsi="Arial"/>
          <w:sz w:val="20"/>
          <w:szCs w:val="20"/>
        </w:rPr>
        <w:t xml:space="preserve">Ver: Arousal / Microdespertar.</w:t>
      </w:r>
    </w:p>
    <w:p>
      <w:pPr>
        <w:spacing w:after="40" w:before="160"/>
      </w:pPr>
      <w:r>
        <w:rPr>
          <w:rFonts w:ascii="Arial" w:cs="Arial" w:eastAsia="Arial" w:hAnsi="Arial"/>
          <w:b/>
          <w:bCs/>
          <w:color w:val="2E75B6"/>
          <w:sz w:val="22"/>
          <w:szCs w:val="22"/>
        </w:rPr>
        <w:t xml:space="preserve">Umbral de activación (arousal threshold)</w:t>
      </w:r>
    </w:p>
    <w:p>
      <w:pPr>
        <w:spacing w:after="100" w:before="0"/>
        <w:ind w:left="360"/>
      </w:pPr>
      <w:r>
        <w:rPr>
          <w:rFonts w:ascii="Arial" w:cs="Arial" w:eastAsia="Arial" w:hAnsi="Arial"/>
          <w:sz w:val="20"/>
          <w:szCs w:val="20"/>
        </w:rPr>
        <w:t xml:space="preserve">Nivel mínimo de estímulo respiratorio (hipoxia, hipercapnia o esfuerzo ventilatorio) necesario para despertar al paciente del sueño y terminar el evento obstructivo. Un umbral bajo genera arousals frecuentes que fragmentan el sueño; un umbral alto permite eventos más prolongados pero con menos fragmentación. Es uno de los cuatro endotipos fisiopatológicos del SAOS.</w:t>
      </w:r>
    </w:p>
    <w:p>
      <w:pPr>
        <w:spacing w:after="40" w:before="160"/>
      </w:pPr>
      <w:r>
        <w:rPr>
          <w:rFonts w:ascii="Arial" w:cs="Arial" w:eastAsia="Arial" w:hAnsi="Arial"/>
          <w:b/>
          <w:bCs/>
          <w:color w:val="2E75B6"/>
          <w:sz w:val="22"/>
          <w:szCs w:val="22"/>
        </w:rPr>
        <w:t xml:space="preserve">Umbral de apnea</w:t>
      </w:r>
    </w:p>
    <w:p>
      <w:pPr>
        <w:spacing w:after="100" w:before="0"/>
        <w:ind w:left="360"/>
      </w:pPr>
      <w:r>
        <w:rPr>
          <w:rFonts w:ascii="Arial" w:cs="Arial" w:eastAsia="Arial" w:hAnsi="Arial"/>
          <w:sz w:val="20"/>
          <w:szCs w:val="20"/>
        </w:rPr>
        <w:t xml:space="preserve">Nivel de PaCO₂ por debajo del cual el drive ventilatorio central se suprime y puede producirse una apnea central. Relevante en el contexto del loop gain: un umbral de apnea cercano al nivel eupneico de CO₂ aumenta la inestabilidad del sistema de control ventilatorio durante el sueño.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Anexo B — Glosario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2026-05-29T11:40:29.799Z</dcterms:created>
  <dcterms:modified xsi:type="dcterms:W3CDTF">2026-05-29T11:40:29.799Z</dcterms:modified>
</cp:coreProperties>
</file>

<file path=docProps/custom.xml><?xml version="1.0" encoding="utf-8"?>
<Properties xmlns="http://schemas.openxmlformats.org/officeDocument/2006/custom-properties" xmlns:vt="http://schemas.openxmlformats.org/officeDocument/2006/docPropsVTypes"/>
</file>