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pPr>
        <w:spacing w:after="200"/>
      </w:pPr>
      <w:r>
        <w:rPr>
          <w:b/>
          <w:bCs/>
          <w:color w:val="1E3A5F"/>
          <w:sz w:val="36"/>
          <w:szCs w:val="36"/>
        </w:rPr>
        <w:t>Anexo de Figuras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contiene las figuras del Capítulo 6 trasladadas del cuerpo principal para reducir la extensión del texto. Se conservan sus captions y notas originales. La numeración original (Figura 6.X) se mantiene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72161" w14:textId="77777777" w:rsidR="000D6075" w:rsidRDefault="000D6075">
      <w:r>
        <w:separator/>
      </w:r>
    </w:p>
  </w:endnote>
  <w:endnote w:type="continuationSeparator" w:id="0">
    <w:p w14:paraId="598670BC" w14:textId="77777777" w:rsidR="000D6075" w:rsidRDefault="000D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93120" w14:textId="77777777" w:rsidR="000D6075" w:rsidRDefault="000D6075">
      <w:r>
        <w:separator/>
      </w:r>
    </w:p>
  </w:footnote>
  <w:footnote w:type="continuationSeparator" w:id="0">
    <w:p w14:paraId="49145B90" w14:textId="77777777" w:rsidR="000D6075" w:rsidRDefault="000D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