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pPr>
        <w:spacing w:after="200"/>
      </w:pPr>
      <w:r>
        <w:rPr>
          <w:b/>
          <w:bCs/>
          <w:color w:val="1E3A5F"/>
          <w:sz w:val="36"/>
          <w:szCs w:val="36"/>
        </w:rPr>
        <w:t>Anexo de Figuras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contiene las figuras del Capítulo 6 trasladadas del cuerpo principal para reducir la extensión del texto. Se conservan sus captions y notas originales. La numeración original (Figura 6.X) se mantiene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