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pPr>
        <w:spacing w:after="200"/>
      </w:pPr>
      <w:r>
        <w:rPr>
          <w:b/>
          <w:bCs/>
          <w:color w:val="1E3A5F"/>
          <w:sz w:val="36"/>
          <w:szCs w:val="36"/>
        </w:rPr>
        <w:t>Anexo de Material Suplementario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reúne figuras y tablas trasladadas del cuerpo principal para reducir la extensión del texto. El material está organizado por capítulo. Se conservan captions, notas y numeración originales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