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9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= 29,2 %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6.2. Riesgo relativo (RR) de evento severo por estado PAC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6.2c. Acoplamiento morfotipo–estado PAC (escala M):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0,231.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6.3.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6.4c. Dos noches con ODI3 = 14 ev/h y Coupling Index opuesto (0,12 vs. 0,75).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6.5c. Dinámica peri-evento y resiliencia fisiológica: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permanecer en estado patológico cae a distintas velocidades: 43,3 % a los 30 s (S), 12,3 % a los 5 min (M), 1,3 % a los 30 min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6.6.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6.7. Ablación por grupo de features en clasificación multiclase LOPO-CV (NB06).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33600"/>
            <wp:effectExtent t="0" r="0" b="0" l="0"/>
            <wp:docPr id="1" name="06_ablation_study.png" descr="06_ablation_study.png" title="06_ablation_stu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balanced accuracy. Panel derecho: Cohen κ. El modelo PAC only (balanced accuracy = 0,521 ± 0,218) supera a Clínico only (0,354 ± 0,294). 540 noches, 8 pacientes, 8 folds LOPO-CV. Origen: NB06.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6.8.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6.9. Curvas ROC y Precision-Recall para la clasificación nocturna binaria (NB07 Bloque C).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0,874, AP = 0,764. Random Forest: AUC = 0,815, AP = 0,649. Baseline AP = 0,320. n = 540 noches, 8 pacientes. Origen: NB07, Bloque C.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del Risk Score PAC (0–100) por categoría clínica AASM.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29,2 (Normal) / 29,4 (Leve) / 72,9 (Moderado) / 81,0 (Severo). El 100 % de las Severas superan el umbral 60; el 77,6 % de las Moderadas; el 9,4 %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