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Versión 9  ·  Junio 2026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300"/>
      </w:pPr>
      <w:r>
        <w:rPr>
          <w:rFonts w:asciiTheme="minorHAnsi" w:hAnsiTheme="minorHAnsi"/>
          <w:b/>
          <w:bCs/>
          <w:sz w:val="20"/>
          <w:szCs w:val="20"/>
        </w:rPr>
        <w:t xml:space="preserve">Figura 4.4. Distribución del ARI por morfotipo y relación con severidad morfológica.</w:t>
      </w:r>
    </w:p>
    <w:p>
      <w:pPr>
        <w:spacing w:after="80" w:before="0"/>
        <w:jc w:val="center"/>
      </w:pPr>
      <w:r>
        <w:drawing>
          <wp:inline distT="0" distB="0" distL="0" distR="0">
            <wp:extent cx="4800000" cy="3981149"/>
            <wp:effectExtent t="0" r="0" b="0" l="0"/>
            <wp:docPr id="50" name="02_ari_mediana_cluster.png" descr="Figura 4.4. Distribución del ARI por morfotipo y relación con severidad morfológica." title="Figura 4.4. Distribución del ARI por morfotipo y relación con severidad morfológ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9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(A) ARI mediano con IC 95 % bootstrap por morfotipo; línea punteada: mediana global (ARI = 0,5). Los cinco morfotipos se agrupan en torno a la mediana global, sin gradiente monótono con la severidad. (B) Distribución de densidad ARI versus morfotipo sobre N = 85.277 EDOs; ρ Spearman ≈ 0,034, confirmando la práctica independencia entre ARI y severidad morfológica.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panel corresponde a un paciente (orden cronológico, solo noches quality, n = 553). Líneas horizontales: media del ARI nocturno del paciente; barras de error: IQR noche a noche. Origen: NB03.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5.2. Perfil fisiológico de los siete estados de escala S (30 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0" name="04_fisiologia_por_estado_s.png" descr="04_fisiologia_por_estado_s.png" title="04_fisiologia_por_estad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S0–S6 durante ventanas de 30 s. Los estados S4 y S5 muestran los patrones de mayor carga hipóxica y reactividad autonómica respectivamente.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5.3. Perfil fisiológico de los cinco estados de escala M (5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1" name="04_fisiologia_por_estado_m.png" descr="04_fisiologia_por_estado_m.png" title="04_fisiologia_por_estad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M0–M4 durante ventanas de 5 min. M1 presenta la mayor correlación con T90 (ρ = +0,744) y carga hipóxica (ρ = +0,618) de todo el sistema PAC States.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5.4. Perfil fisiológico de los cuatro estados de escala L (30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2" name="04_fisiologia_por_estado_l.png" descr="04_fisiologia_por_estado_l.png" title="04_fisiologia_por_estado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L0–L3 durante ventanas de 30 min. L0 es el polo de hipoxemia sostenida (ρ T90 = +0,705); L3 el polo de baja carga con mayor correlación con el ARI nocturno (ρ = +0,357).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5.5. Mapa de correlaciones de Spearman entre features nocturnas multiescala (S + M + L).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829654"/>
            <wp:effectExtent t="0" r="0" b="0" l="0"/>
            <wp:docPr id="13" name="04_correlaciones_multiescala_completo.png" descr="04_correlaciones_multiescala_completo.png" title="04_correlaciones_multiescala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Correlaciones de Spearman entre las 15 fracciones de estado PAC (frac_s_S0–S5, frac_m_M0–M4, frac_l_L0–L3) y los índices nocturnos (ODI3, T90, ARI, HB₃). La especialización funcional S4→frecuencia, M1→carga hipóxica, S5→reactividad autonómica emerge del patrón de correlaciones. Origen: NB04, n = 560 noches.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5.6.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= 29,2 %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6.2.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6.3. Riesgo relativo (RR) de evento severo por estado PAC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S6, M1 y L0 presentan los RR más elevados (4,70×, 3,29× y 1,98× respectivamente). La magnitud del RR decrece con la escala temporal. P(severo) marginal = 5,97 %. Origen: NB05, Sección 2.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6.3c. Acoplamiento morfotipo–estado PAC (escala M): esquema conceptual.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0,231.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6.4.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6.5.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6.5c. Dos noches con ODI3 = 14 ev/h y Coupling Index opuesto (0,12 vs. 0,75).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6.6.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6.6c. Dinámica peri-evento y resiliencia fisiológica: esquema conceptual.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permanecer en estado patológico cae a distintas velocidades: 43,3 % a los 30 s (S), 12,3 % a los 5 min (M), 1,3 % a los 30 min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6.7.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(33,6 %): gradiente de carga hipóxica / respuesta autonómica; PC2 (23,6 %): gradiente de dinamismo. El fenotipo Carga Hipóxica Alta se localiza en el extremo negativo de PC1 con baja variabilidad. n = 511 noches, 8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6.8. Ablación por grupo de features en clasificación multiclase LOPO-CV (NB06).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33600"/>
            <wp:effectExtent t="0" r="0" b="0" l="0"/>
            <wp:docPr id="1" name="06_ablation_study.png" descr="06_ablation_study.png" title="06_ablation_stu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balanced accuracy. Panel derecho: Cohen κ. El modelo PAC only (balanced accuracy = 0,521 ± 0,218) supera a Clínico only (0,354 ± 0,294). 540 noches, 8 pacientes, 8 folds LOPO-CV. Origen: NB06.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6.9.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Curvas ROC y Precision-Recall para la clasificación nocturna binaria (NB07 Bloque C).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0,874, AP = 0,764. Random Forest: AUC = 0,815, AP = 0,649. Baseline AP = 0,320. n = 540 noches, 8 pacientes. Origen: NB07, Bloque C.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6.11. Distribución del Risk Score PAC (0–100) por categoría clínica AASM.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Medianas: 29,2 (Normal) / 29,4 (Leve) / 72,9 (Moderado) / 81,0 (Severo). El 100 % de las Severas superan el umbral 60; el 77,6 % de las Moderadas; el 9,4 % de las Leves; el 0 % de las Normales. n = 540 noches.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Relationship Id="rId33" Type="http://schemas.openxmlformats.org/officeDocument/2006/relationships/image" Target="media/7fcb7e5932c5177687dba0ba4c8e920fadae2042.png"/><Relationship Id="rId34" Type="http://schemas.openxmlformats.org/officeDocument/2006/relationships/image" Target="media/96977e823c78d28ed655be78034f32324a258a0e.png"/><Relationship Id="rId35" Type="http://schemas.openxmlformats.org/officeDocument/2006/relationships/image" Target="media/5e1bcf8c16b5e80de30c5de8c544001825ba4c00.png"/><Relationship Id="rId36" Type="http://schemas.openxmlformats.org/officeDocument/2006/relationships/image" Target="media/0d611002be315827990002210caaf9488f294c6f.png"/><Relationship Id="rId37" Type="http://schemas.openxmlformats.org/officeDocument/2006/relationships/image" Target="media/0c38cafd78540283a136cf26835b17b1b5c18a66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