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9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panel corresponde a un paciente (orden cronológico, solo noches quality, n = 553).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= 29,2 %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6.2.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6.3. Riesgo relativo (RR) de evento severo por estado PAC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6.3c. Acoplamiento morfotipo–estado PAC (escala M):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0,231.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6.4.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6.5c. Dos noches con ODI3 = 14 ev/h y Coupling Index opuesto (0,12 vs. 0,75).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6.6.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6.6c. Dinámica peri-evento y resiliencia fisiológica: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permanecer en estado patológico cae a distintas velocidades: 43,3 % a los 30 s (S), 12,3 % a los 5 min (M), 1,3 % a los 30 min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6.7.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6.9.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Curvas ROC y Precision-Recall para la clasificación nocturna binaria (NB07 Bloque C).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0,874, AP = 0,764. Random Forest: AUC = 0,815, AP = 0,649. Baseline AP = 0,320. n = 540 noches, 8 pacientes. Origen: NB07, Bloque C.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Distribución del Risk Score PAC (0–100) por categoría clínica AASM.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29,2 (Normal) / 29,4 (Leve) / 72,9 (Moderado) / 81,0 (Severo). El 100 % de las Severas superan el umbral 60; el 77,6 % de las Moderadas; el 9,4 %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