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4_paraId="77777777" mc:Ignorable="w14 w15 w16se w16cid w16 w16cex w16sdtdh wp14">
  <w:body>
    <w:p>
      <w:r>
        <w:rPr>
          <w:b/>
        </w:rPr>
        <w:t xml:space="preserve">Cap04 — Fenotipado Morfológico y Reactividad Autonómica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4.3. Perfiles de frecuencia cardíaca (FC, fila A) y movimiento (MOV, fila B) por morfotipo C1–C5.</w:t>
      </w:r>
    </w:p>
    <w:p>
      <w:r>
        <w:t xml:space="preserve">Nota. Eje X: tiempo normalizado del evento (0–100 %). Fila A — FC (lpm): media ± IQR; Δ indica el incremento máximo respecto al valor al inicio del evento. Fila B — MOV (u.a.): media ± IQR; peak indica la amplitud máxima. Los morfotipos C3 y C4 muestran los picos de FC y MOV más pronunciados; C5 presenta los Δ más bajos pese a ser el morfotipo más severo morfológicamente.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4.5. Análisis within-stratum del ARI: diferencias entre ARI-alto y ARI-bajo dentro de cada estrato de severidad ODI3.</w:t>
      </w:r>
    </w:p>
    <w:p>
      <w:r>
        <w:t xml:space="preserve">Nota. Estratos ODI3: Leve (&lt; 5 ev/h), Moderado (5–15 ev/h), Grave (15–30 ev/h), Muy grave (&gt; 30 ev/h). (a) HR gain mediana (lpm/pp) para ARI-alto vs ARI-bajo: diferencia significativa en todos los estratos (*** p &lt; 0,001). (b) Fracción de morfotipos severos C4+C5 por grupo ARI: diferencia significativa en Moderado y Muy grave. (c) T90 (fracción de tiempo con SpO₂ &lt; 90 %) por grupo ARI: diferencia significativa en Leve, Moderado y Muy grave. ns: no significativo. Análisis realizado con prueba de Mann-Whitney U con corrección de Bonferroni.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4.6. Estabilización del ODI3 con el número de noches promediadas (simulación bootstrap, cohorte estricta, 8 pacientes).</w:t>
      </w:r>
    </w:p>
    <w:p>
      <w:r>
        <w:t xml:space="preserve">Nota. Cohorte estricta: 8 pacientes con ≥ 10 noches in_quality. (A) Error absoluto medio (MAE, ev/h) del ODI3 vs número de noches promediadas; banda sombreada: IQR bootstrap (300 iteraciones). Línea punteada roja: umbral operacional MAE = 2 ev/h, alcanzado aproximadamente a partir de 4 noches. (B) ICC(1,1) vs número de noches; los valores crecen desde 0,70 (1 noche) hasta 0,98 (14 noches).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4.7. Validación multi-noche del ARI: MAE bootstrap y análisis de concordancia Bland-Altman.</w:t>
      </w:r>
    </w:p>
    <w:p>
      <w:r>
        <w:t xml:space="preserve">Nota. (A) MAE bootstrap (IC 95 %) del ARI paciente-nivel vs número de noches promediadas; umbral operacional ARI = 0,05 indicado con línea punteada. El MAE desciende por debajo de 0,01 desde las primeras noches. (B) Análisis de Bland-Altman: diferencia entre ARI de 1 noche y media multi-noche versus promedio de ambas; sesgo = 0,001 (línea roja), límites de acuerdo (LoA) ± 0,097 (líneas punteadas naranjas). La variabilidad residual es homogénea en todo el rango del ARI.</w:t>
      </w:r>
    </w:p>
    <w:p/>
    <w:p>
      <w:r>
        <w:t xml:space="preserve">Tabla 4.3. Correspondencia entre morfotipos escalares (α–κ, K = 10) y morfotipos de curva (C1–C5).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Morfotipo escalar</w:t>
            </w:r>
          </w:p>
        </w:tc>
        <w:tc>
          <w:p>
            <w:r>
              <w:rPr>
                <w:b/>
              </w:rPr>
              <w:t xml:space="preserve">N eventos</w:t>
            </w:r>
          </w:p>
        </w:tc>
        <w:tc>
          <w:p>
            <w:r>
              <w:rPr>
                <w:b/>
              </w:rPr>
              <w:t xml:space="preserve">C4+C5 (%)</w:t>
            </w:r>
          </w:p>
        </w:tc>
        <w:tc>
          <w:p>
            <w:r>
              <w:rPr>
                <w:b/>
              </w:rPr>
              <w:t xml:space="preserve">Alineación principal</w:t>
            </w:r>
          </w:p>
        </w:tc>
        <w:tc>
          <w:p>
            <w:r>
              <w:rPr>
                <w:b/>
              </w:rPr>
              <w:t xml:space="preserve">Perfil</w:t>
            </w:r>
          </w:p>
        </w:tc>
      </w:tr>
      <w:tr>
        <w:tc>
          <w:p>
            <w:r>
              <w:t xml:space="preserve">β</w:t>
            </w:r>
          </w:p>
        </w:tc>
        <w:tc>
          <w:p>
            <w:r>
              <w:t xml:space="preserve">51.801</w:t>
            </w:r>
          </w:p>
        </w:tc>
        <w:tc>
          <w:p>
            <w:r>
              <w:t xml:space="preserve">0,0 %</w:t>
            </w:r>
          </w:p>
        </w:tc>
        <w:tc>
          <w:p>
            <w:r>
              <w:t xml:space="preserve">→ C1 (87,4 %)</w:t>
            </w:r>
          </w:p>
        </w:tc>
        <w:tc>
          <w:p>
            <w:r>
              <w:t xml:space="preserve">Dominante subcrítico — 60,8 % del corpus</w:t>
            </w:r>
          </w:p>
        </w:tc>
      </w:tr>
      <w:tr>
        <w:tc>
          <w:p>
            <w:r>
              <w:t xml:space="preserve">γ</w:t>
            </w:r>
          </w:p>
        </w:tc>
        <w:tc>
          <w:p>
            <w:r>
              <w:t xml:space="preserve">8.590</w:t>
            </w:r>
          </w:p>
        </w:tc>
        <w:tc>
          <w:p>
            <w:r>
              <w:t xml:space="preserve">1,0 %</w:t>
            </w:r>
          </w:p>
        </w:tc>
        <w:tc>
          <w:p>
            <w:r>
              <w:t xml:space="preserve">→ C1 (61,7 %), C2 (34,8 %)</w:t>
            </w:r>
          </w:p>
        </w:tc>
        <w:tc>
          <w:p>
            <w:r>
              <w:t xml:space="preserve">C1/C2 mixto — baja carga hipóxica</w:t>
            </w:r>
          </w:p>
        </w:tc>
      </w:tr>
      <w:tr>
        <w:tc>
          <w:p>
            <w:r>
              <w:t xml:space="preserve">η</w:t>
            </w:r>
          </w:p>
        </w:tc>
        <w:tc>
          <w:p>
            <w:r>
              <w:t xml:space="preserve">7.286</w:t>
            </w:r>
          </w:p>
        </w:tc>
        <w:tc>
          <w:p>
            <w:r>
              <w:t xml:space="preserve">1,2 %</w:t>
            </w:r>
          </w:p>
        </w:tc>
        <w:tc>
          <w:p>
            <w:r>
              <w:t xml:space="preserve">→ C2 (58,6 %), C1 (35,6 %)</w:t>
            </w:r>
          </w:p>
        </w:tc>
        <w:tc>
          <w:p>
            <w:r>
              <w:t xml:space="preserve">Leve-moderado con buena recuperación</w:t>
            </w:r>
          </w:p>
        </w:tc>
      </w:tr>
      <w:tr>
        <w:tc>
          <w:p>
            <w:r>
              <w:t xml:space="preserve">κ</w:t>
            </w:r>
          </w:p>
        </w:tc>
        <w:tc>
          <w:p>
            <w:r>
              <w:t xml:space="preserve">6.739</w:t>
            </w:r>
          </w:p>
        </w:tc>
        <w:tc>
          <w:p>
            <w:r>
              <w:t xml:space="preserve">17,1 %</w:t>
            </w:r>
          </w:p>
        </w:tc>
        <w:tc>
          <w:p>
            <w:r>
              <w:t xml:space="preserve">→ C2 (60,1 %), C4 (17,0 %)</w:t>
            </w:r>
          </w:p>
        </w:tc>
        <w:tc>
          <w:p>
            <w:r>
              <w:t xml:space="preserve">C2 dominante con fracción severa moderada</w:t>
            </w:r>
          </w:p>
        </w:tc>
      </w:tr>
      <w:tr>
        <w:tc>
          <w:p>
            <w:r>
              <w:t xml:space="preserve">α</w:t>
            </w:r>
          </w:p>
        </w:tc>
        <w:tc>
          <w:p>
            <w:r>
              <w:t xml:space="preserve">4.675</w:t>
            </w:r>
          </w:p>
        </w:tc>
        <w:tc>
          <w:p>
            <w:r>
              <w:t xml:space="preserve">29,1 %</w:t>
            </w:r>
          </w:p>
        </w:tc>
        <w:tc>
          <w:p>
            <w:r>
              <w:t xml:space="preserve">→ C2 (37,1 %), C3 (30,1 %), C4 (28,0 %)</w:t>
            </w:r>
          </w:p>
        </w:tc>
        <w:tc>
          <w:p>
            <w:r>
              <w:t xml:space="preserve">Mixto severo-moderado; fronteras difusas entre C2/C3/C4</w:t>
            </w:r>
          </w:p>
        </w:tc>
      </w:tr>
      <w:tr>
        <w:tc>
          <w:p>
            <w:r>
              <w:t xml:space="preserve">ζ</w:t>
            </w:r>
          </w:p>
        </w:tc>
        <w:tc>
          <w:p>
            <w:r>
              <w:t xml:space="preserve">3.698</w:t>
            </w:r>
          </w:p>
        </w:tc>
        <w:tc>
          <w:p>
            <w:r>
              <w:t xml:space="preserve">24,0 %</w:t>
            </w:r>
          </w:p>
        </w:tc>
        <w:tc>
          <w:p>
            <w:r>
              <w:t xml:space="preserve">→ C2 (46,4 %), C4 (23,1 %), C3 (21,1 %)</w:t>
            </w:r>
          </w:p>
        </w:tc>
        <w:tc>
          <w:p>
            <w:r>
              <w:t xml:space="preserve">Mixto moderado-severo; contribución severa relevante</w:t>
            </w:r>
          </w:p>
        </w:tc>
      </w:tr>
      <w:tr>
        <w:tc>
          <w:p>
            <w:r>
              <w:t xml:space="preserve">ε</w:t>
            </w:r>
          </w:p>
        </w:tc>
        <w:tc>
          <w:p>
            <w:r>
              <w:t xml:space="preserve">548</w:t>
            </w:r>
          </w:p>
        </w:tc>
        <w:tc>
          <w:p>
            <w:r>
              <w:t xml:space="preserve">20,6 %</w:t>
            </w:r>
          </w:p>
        </w:tc>
        <w:tc>
          <w:p>
            <w:r>
              <w:t xml:space="preserve">→ C3 (68,2 %)</w:t>
            </w:r>
          </w:p>
        </w:tc>
        <w:tc>
          <w:p>
            <w:r>
              <w:t xml:space="preserve">Predominio C3 — severo agudo</w:t>
            </w:r>
          </w:p>
        </w:tc>
      </w:tr>
      <w:tr>
        <w:tc>
          <w:p>
            <w:r>
              <w:t xml:space="preserve">ι</w:t>
            </w:r>
          </w:p>
        </w:tc>
        <w:tc>
          <w:p>
            <w:r>
              <w:t xml:space="preserve">201</w:t>
            </w:r>
          </w:p>
        </w:tc>
        <w:tc>
          <w:p>
            <w:r>
              <w:t xml:space="preserve">68,2 %</w:t>
            </w:r>
          </w:p>
        </w:tc>
        <w:tc>
          <w:p>
            <w:r>
              <w:t xml:space="preserve">→ C4 (48,3 %), C5 (19,9 %)</w:t>
            </w:r>
          </w:p>
        </w:tc>
        <w:tc>
          <w:p>
            <w:r>
              <w:t xml:space="preserve">Severo C4/C5 — alta tasa de eventos críticos</w:t>
            </w:r>
          </w:p>
        </w:tc>
      </w:tr>
      <w:tr>
        <w:tc>
          <w:p>
            <w:r>
              <w:t xml:space="preserve">θ</w:t>
            </w:r>
          </w:p>
        </w:tc>
        <w:tc>
          <w:p>
            <w:r>
              <w:t xml:space="preserve">1.597</w:t>
            </w:r>
          </w:p>
        </w:tc>
        <w:tc>
          <w:p>
            <w:r>
              <w:t xml:space="preserve">71,1 %</w:t>
            </w:r>
          </w:p>
        </w:tc>
        <w:tc>
          <w:p>
            <w:r>
              <w:t xml:space="preserve">→ C4 (39,7 %), C5 (31,4 %), C3 (25,8 %)</w:t>
            </w:r>
          </w:p>
        </w:tc>
        <w:tc>
          <w:p>
            <w:r>
              <w:t xml:space="preserve">Severo mixto C4/C5 — segundo concentrador de morfotipos severos</w:t>
            </w:r>
          </w:p>
        </w:tc>
      </w:tr>
      <w:tr>
        <w:tc>
          <w:p>
            <w:r>
              <w:t xml:space="preserve">δ</w:t>
            </w:r>
          </w:p>
        </w:tc>
        <w:tc>
          <w:p>
            <w:r>
              <w:t xml:space="preserve">151</w:t>
            </w:r>
          </w:p>
        </w:tc>
        <w:tc>
          <w:p>
            <w:r>
              <w:t xml:space="preserve">94,7 %</w:t>
            </w:r>
          </w:p>
        </w:tc>
        <w:tc>
          <w:p>
            <w:r>
              <w:t xml:space="preserve">→ C5 (82,5 %), C4 (17,5 %)</w:t>
            </w:r>
          </w:p>
        </w:tc>
        <w:tc>
          <w:p>
            <w:r>
              <w:t xml:space="preserve">Concentrador máximo de C5 — morfotipo de mayor pureza severa</w:t>
            </w:r>
          </w:p>
        </w:tc>
      </w:tr>
    </w:tbl>
    <w:p>
      <w:r>
        <w:t xml:space="preserve">Nota. Datos verificados sobre gold/events.parquet (N = 85.286 EDOs). C4+C5 (%): fracción de eventos del morfotipo escalar que se alinean con morfotipos severos de curva. Alineación principal: morfotipo(s) de curva con mayor frecuencia dentro del morfotipo escalar. Los morfotipos escalares δ y θ concentran la mayor pureza de morfotipos severos C4/C5.</w:t>
      </w:r>
    </w:p>
    <w:p/>
    <w:p>
      <w:pPr>
        <w:spacing w:after="200"/>
      </w:pPr>
      <w:r>
        <w:rPr>
          <w:b/>
          <w:bCs/>
          <w:color w:val="1E3A5F"/>
          <w:sz w:val="36"/>
          <w:szCs w:val="36"/>
        </w:rPr>
        <w:t>Anexo de Material Suplementario</w:t>
      </w:r>
    </w:p>
    <w:p>
      <w:pPr>
        <w:spacing w:after="140" w:line="280" w:lineRule="auto"/>
        <w:jc w:val="both"/>
      </w:pPr>
      <w:r>
        <w:rPr>
          <w:sz w:val="20"/>
          <w:szCs w:val="20"/>
        </w:rPr>
        <w:t xml:space="preserve">Este anexo reúne figuras y tablas trasladadas del cuerpo principal para reducir la extensión del texto. El material está organizado por capítulo. Se conservan captions, notas y numeración originales para facilitar las referencias cruzadas.</w:t>
      </w:r>
    </w:p>
    <w:p>
      <w:pPr>
        <w:spacing w:after="280"/>
      </w:pPr>
      <w:r>
        <w:t/>
      </w:r>
    </w:p>
    <w:p w14:paraId="50750B03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D17663" wp14:editId="08B77A67">
            <wp:extent cx="5238750" cy="1447800"/>
            <wp:effectExtent l="0" t="0" r="0" b="0"/>
            <wp:docPr id="1" name="Arco narrativo de la tesis — Cap06 como nodo de síntesis" descr="Arco narrativo de la tesis — Cap06 como nodo de síntesis" title="Arco narrativo de la tesis — Cap06 como nodo de sínt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Cap05 — PAC States y Caracterización Multiescala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5.1. Estabilidad del ARI nocturno por paciente a lo largo de las noches monitoreadas. Cada panel corresponde a un paciente.</w:t>
      </w:r>
    </w:p>
    <w:p>
      <w:r>
        <w:t xml:space="preserve">Nota. Origen: NB03. Solo se muestran noches quality (n = 553). El orden es cronológico por fecha de registro. Las líneas horizontales indican la media del ARI nocturno del paciente; las barras de error, el IQR noche a noche.</w:t>
      </w:r>
    </w:p>
    <w:p/>
    <w:p xmlns:a="http://schemas.openxmlformats.org/drawingml/2006/main" xmlns:pic="http://schemas.openxmlformats.org/drawingml/2006/picture">
      <w:r>
        <w:drawing>
          <wp:inline>
            <wp:extent cx="5400000" cy="3500000"/>
            <wp:effectExtent l="0" t="0" r="0" b="0"/>
            <wp:docPr id="99" name="img"/>
            <a:graphic>
              <a:graphicData uri="http://schemas.openxmlformats.org/drawingml/2006/picture">
                <pic:pic>
                  <pic:nvPicPr>
                    <pic:cNvPr id="0" name="im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Figura 5.5. PCA multiescala y fenotipos nocturnos (K = 3). Proyección de 560 noches quality en el plano PC1–PC2.</w:t>
      </w:r>
    </w:p>
    <w:p>
      <w:r>
        <w:t xml:space="preserve">Nota. Origen: NB04. PC1 explica el 29,2 % de la varianza (loadings dominantes: frac_s_S2, frac_s_S1, frac_m_M0); PC2 el 12,1 %. Los tres clusters se superponen parcialmente en el espacio PC1–PC2: la separación es más clara en dimensiones superiores. Colores: cluster 1 = baja severidad, cluster 2 = severidad moderada, cluster 3 = carga hipóxica alta.</w:t>
      </w:r>
    </w:p>
    <w:p/>
    <w:p>
      <w:r>
        <w:t xml:space="preserve">Tabla 5.4. Matriz síntesis: estado PAC clave por dimensión fisiológica y escala temporal.</w:t>
      </w:r>
    </w:p>
    <w:p/>
    <w:tbl>
      <w:tblPr>
        <w:tblStyle w:val="TableGrid"/>
        <w:tblW w:w="9360" w:type="dxa"/>
      </w:tblPr>
      <w:tr>
        <w:tc>
          <w:p>
            <w:r>
              <w:rPr>
                <w:b/>
              </w:rPr>
              <w:t xml:space="preserve">Escala</w:t>
            </w:r>
          </w:p>
        </w:tc>
        <w:tc>
          <w:p>
            <w:r>
              <w:rPr>
                <w:b/>
              </w:rPr>
              <w:t xml:space="preserve">Estado clave</w:t>
            </w:r>
          </w:p>
        </w:tc>
        <w:tc>
          <w:p>
            <w:r>
              <w:rPr>
                <w:b/>
              </w:rPr>
              <w:t xml:space="preserve">Dimensión fisiológica</w:t>
            </w:r>
          </w:p>
        </w:tc>
        <w:tc>
          <w:p>
            <w:r>
              <w:rPr>
                <w:b/>
              </w:rPr>
              <w:t xml:space="preserve">Mejor ρ Spearman</w:t>
            </w:r>
          </w:p>
        </w:tc>
      </w:tr>
      <w:tr>
        <w:tc>
          <w:p>
            <w:r>
              <w:t xml:space="preserve">S — 30 s</w:t>
            </w:r>
          </w:p>
        </w:tc>
        <w:tc>
          <w:p>
            <w:r>
              <w:t xml:space="preserve">S4</w:t>
            </w:r>
          </w:p>
        </w:tc>
        <w:tc>
          <w:p>
            <w:r>
              <w:t xml:space="preserve">Frecuencia de eventos (AHI / ODI)</w:t>
            </w:r>
          </w:p>
        </w:tc>
        <w:tc>
          <w:p>
            <w:r>
              <w:t xml:space="preserve">+0,691  (AHI3)</w:t>
            </w:r>
          </w:p>
        </w:tc>
      </w:tr>
      <w:tr>
        <w:tc>
          <w:p>
            <w:r>
              <w:t xml:space="preserve">S — 30 s</w:t>
            </w:r>
          </w:p>
        </w:tc>
        <w:tc>
          <w:p>
            <w:r>
              <w:t xml:space="preserve">S5</w:t>
            </w:r>
          </w:p>
        </w:tc>
        <w:tc>
          <w:p>
            <w:r>
              <w:t xml:space="preserve">Reactividad autonómica (ARI)</w:t>
            </w:r>
          </w:p>
        </w:tc>
        <w:tc>
          <w:p>
            <w:r>
              <w:t xml:space="preserve">+0,637  (ARI media)</w:t>
            </w:r>
          </w:p>
        </w:tc>
      </w:tr>
      <w:tr>
        <w:tc>
          <w:p>
            <w:r>
              <w:t xml:space="preserve">M — 5 min</w:t>
            </w:r>
          </w:p>
        </w:tc>
        <w:tc>
          <w:p>
            <w:r>
              <w:t xml:space="preserve">M1</w:t>
            </w:r>
          </w:p>
        </w:tc>
        <w:tc>
          <w:p>
            <w:r>
              <w:t xml:space="preserve">Carga hipóxica acumulada (T90, HB3)</w:t>
            </w:r>
          </w:p>
        </w:tc>
        <w:tc>
          <w:p>
            <w:r>
              <w:t xml:space="preserve">+0,744  (T90)</w:t>
            </w:r>
          </w:p>
        </w:tc>
      </w:tr>
      <w:tr>
        <w:tc>
          <w:p>
            <w:r>
              <w:t xml:space="preserve">L — 30 min</w:t>
            </w:r>
          </w:p>
        </w:tc>
        <w:tc>
          <w:p>
            <w:r>
              <w:t xml:space="preserve">L0</w:t>
            </w:r>
          </w:p>
        </w:tc>
        <w:tc>
          <w:p>
            <w:r>
              <w:t xml:space="preserve">Arquitectura hipóxica global (T90)</w:t>
            </w:r>
          </w:p>
        </w:tc>
        <w:tc>
          <w:p>
            <w:r>
              <w:t xml:space="preserve">+0,705  (T90 min)</w:t>
            </w:r>
          </w:p>
        </w:tc>
      </w:tr>
    </w:tbl>
    <w:p>
      <w:r>
        <w:t xml:space="preserve">Nota. Correlaciones de Spearman sobre n = 560 noches, cohorte completa (NB04). S4 y S5 pertenecen a la misma escala (S, 30 s) pero capturan dimensiones fisiológicas distintas. Esta tabla se presenta como material suplementario a la Tabla 5.3, que resume el mismo resultado en formato expandido.</w:t>
      </w:r>
    </w:p>
    <w:p/>
    <w:p w14:paraId="3534415D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6.0. </w:t>
      </w:r>
      <w:r>
        <w:rPr>
          <w:color w:val="444444"/>
          <w:sz w:val="18"/>
          <w:szCs w:val="18"/>
        </w:rPr>
        <w:t>Posición de este capítulo en el arco narrativo de la tesis. Cap04 y Cap05 construyeron las representaciones (morfotipos C1–C5 y PAC States S/M/L); Cap06 las integra para cuantificar el acoplamiento entre contexto fisiológico dinámico y severidad de evento, construir los modelos predictivos e integrarlos en el Risk Score PAC. Los capítulos siguientes traducen esa predicción en herramienta clínica (Cap07) y la extienden al dominio prospectivo con habilitación del estimulador terapéutico (Cap08).</w:t>
      </w:r>
    </w:p>
    <w:p>
      <w:pPr>
        <w:spacing w:after="200"/>
      </w:pPr>
      <w:r>
        <w:t/>
      </w:r>
    </w:p>
    <w:p>
      <w:pPr>
        <w:spacing w:after="200"/>
      </w:pPr>
      <w:r>
        <w:t/>
      </w:r>
    </w:p>
    <w:p w14:paraId="4B6B5FBA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B20CC1D" wp14:editId="5443284F">
            <wp:extent cx="5238750" cy="1714500"/>
            <wp:effectExtent l="0" t="0" r="0" b="0"/>
            <wp:docPr id="1899303327" name="Distribucion condicional morfotipo estado PAC" descr="Distribucion condicional morfotipo estado PAC" title="Distribucion condicional morfotipo 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4A45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6.1. </w:t>
      </w:r>
      <w:r>
        <w:rPr>
          <w:i/>
          <w:iCs/>
          <w:sz w:val="20"/>
          <w:szCs w:val="20"/>
        </w:rPr>
        <w:t>Distribución condicional P(morfotipo | estado PAC) en las tres escalas. Los estados patológicos (S6, M1, L0) concentran una proporción marcadamente superior de morfotipos C4 o C5. V de Cramér: S = 0,355; M = 0,229; L = 0,194.</w:t>
      </w:r>
    </w:p>
    <w:p w14:paraId="63E221E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n = 83.892 eventos, cohorte in_strict (12 pacientes).</w:t>
      </w:r>
    </w:p>
    <w:p>
      <w:pPr>
        <w:spacing w:after="200"/>
      </w:pPr>
      <w:r>
        <w:t/>
      </w:r>
    </w:p>
    <w:p w14:paraId="753B0629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F6E4C3F" wp14:editId="356FD5CB">
            <wp:extent cx="5238750" cy="1533525"/>
            <wp:effectExtent l="0" t="0" r="0" b="0"/>
            <wp:docPr id="926487157" name="Riesgo relativo por estado PAC multiscala" descr="Riesgo relativo por estado PAC multiscala" title="Riesgo relativo por estado PAC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470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lastRenderedPageBreak/>
        <w:t xml:space="preserve">Figura 6.2. </w:t>
      </w:r>
      <w:r>
        <w:rPr>
          <w:i/>
          <w:iCs/>
          <w:sz w:val="20"/>
          <w:szCs w:val="20"/>
        </w:rPr>
        <w:t>Riesgo relativo (RR) de evento severo por estado PAC en las tres escalas. Los estados patológicos S6, M1 y L0 presentan los RR más elevados. La magnitud del RR decrece con la escala temporal de forma consistente con la disminución de V de Cramér.</w:t>
      </w:r>
    </w:p>
    <w:p w14:paraId="5F79EC9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2. P(severo) marginal = 5,97 %. n = 83.892 eventos, 12 pacientes.</w:t>
      </w:r>
    </w:p>
    <w:p>
      <w:pPr>
        <w:spacing w:after="200"/>
      </w:pPr>
      <w:r>
        <w:t/>
      </w:r>
    </w:p>
    <w:p w14:paraId="6375A82E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E699C79" wp14:editId="54A48B9F">
            <wp:extent cx="5238750" cy="2819400"/>
            <wp:effectExtent l="0" t="0" r="0" b="0"/>
            <wp:docPr id="1967231547" name="Diagrama conceptual acoplamiento morfotipo–estado PAC" descr="Diagrama conceptual acoplamiento morfotipo–estado PAC" title="Diagrama conceptual acoplamiento morfotipo–estado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D25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6.2c. </w:t>
      </w:r>
      <w:r>
        <w:rPr>
          <w:i/>
          <w:iCs/>
          <w:sz w:val="20"/>
          <w:szCs w:val="20"/>
        </w:rPr>
        <w:t>Acoplamiento morfotipo–estado PAC (escala M). El estado fisiológico activo en los 5 minutos previos al evento predice la morfología de la caída de SpO₂: P(severo | M0) &lt; 2 %; P(severo | M1) = 38,6 %. V de Cramér = 0,230 (NB05, escala M).</w:t>
      </w:r>
    </w:p>
    <w:p w14:paraId="2DAE2C97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de probabilidad representativos del modelo LightGBM (NB07 Bloque B, LOPO-CV). Origen: NB05 §2.</w:t>
      </w:r>
    </w:p>
    <w:p>
      <w:pPr>
        <w:spacing w:after="200"/>
      </w:pPr>
      <w:r>
        <w:t/>
      </w:r>
    </w:p>
    <w:p w14:paraId="30C4EF6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478D3F68" wp14:editId="10C66129">
            <wp:extent cx="5238750" cy="1628775"/>
            <wp:effectExtent l="0" t="0" r="0" b="0"/>
            <wp:docPr id="1388138434" name="Coupling index multiscala por paciente y noche" descr="Coupling index multiscala por paciente y noche" title="Coupling index multiscala por paciente y no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3AA7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6.3. </w:t>
      </w:r>
      <w:r>
        <w:rPr>
          <w:i/>
          <w:iCs/>
          <w:sz w:val="20"/>
          <w:szCs w:val="20"/>
        </w:rPr>
        <w:t>Coupling index (CI) en las tres escalas temporales. Cada punto representa una noche. La independencia entre ci_s y ci_m (r = 0,066) contrasta con la correlación moderada entre ci_m y ci_l (r = 0,291), confirmando que las tres escalas capturan dimensiones no redundantes del riesgo nocturno.</w:t>
      </w:r>
    </w:p>
    <w:p w14:paraId="0576C70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3. n = 560 noches, cohorte in_strict (12 pacientes).</w:t>
      </w:r>
    </w:p>
    <w:p>
      <w:pPr>
        <w:spacing w:after="200"/>
      </w:pPr>
      <w:r>
        <w:t/>
      </w:r>
    </w:p>
    <w:p w14:paraId="6AFD1746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77AD80B" wp14:editId="2EBEF118">
            <wp:extent cx="5238750" cy="1628775"/>
            <wp:effectExtent l="0" t="0" r="0" b="0"/>
            <wp:docPr id="1055980836" name="Resiliencia fisiologica post-evento multiscala" descr="Resiliencia fisiologica post-evento multiscala" title="Resiliencia fisiologica post-evento multisca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2B59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6.4. </w:t>
      </w:r>
      <w:r>
        <w:rPr>
          <w:i/>
          <w:iCs/>
          <w:sz w:val="20"/>
          <w:szCs w:val="20"/>
        </w:rPr>
        <w:t>Resiliencia fisiológica post-evento en las tres escalas temporales. Las barras comparan la fracción de eventos severos en estado patológico seguidos de retorno protector (resiliente) versus persistencia patológica (colapsado). El gradiente 43,3 % → 12,3 % → 1,3 % ilustra la inercia creciente del sistema hipóxico.</w:t>
      </w:r>
    </w:p>
    <w:p w14:paraId="6DAC4D1F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4. n = 4.602 eventos C4+C5, cohorte in_strict (12 pacientes).</w:t>
      </w:r>
    </w:p>
    <w:p>
      <w:pPr>
        <w:spacing w:after="200"/>
      </w:pPr>
      <w:r>
        <w:t/>
      </w:r>
    </w:p>
    <w:p w14:paraId="12B9065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8A1659" wp14:editId="3D880D81">
            <wp:extent cx="5238750" cy="2886075"/>
            <wp:effectExtent l="0" t="0" r="0" b="0"/>
            <wp:docPr id="1280973263" name="Diagrama conceptual Coupling Index nocturno" descr="Diagrama conceptual Coupling Index nocturno" title="Diagrama conceptual Coupling Index noctur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5D288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6.4c. </w:t>
      </w:r>
      <w:r>
        <w:rPr>
          <w:i/>
          <w:iCs/>
          <w:sz w:val="20"/>
          <w:szCs w:val="20"/>
        </w:rPr>
        <w:t>Coupling Index: dos noches con ODI3 = 14 ev/h y CI opuesto (0,12 vs. 0,75). La distribución de eventos en zonas protectoras (verde) o patológicas (rojo) determina el CI. El ODI3 no distingue estos perfiles; el CI sí. Las tres propiedades del índice se resumen en la parte inferior.</w:t>
      </w:r>
    </w:p>
    <w:p w14:paraId="2EDAA6D1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Valores ilustrativos consistentes con la distribución empírica del corpus (NB05 §3).</w:t>
      </w:r>
    </w:p>
    <w:p>
      <w:pPr>
        <w:spacing w:after="200"/>
      </w:pPr>
      <w:r>
        <w:t/>
      </w:r>
    </w:p>
    <w:p w14:paraId="169B45E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615109C" wp14:editId="412AE712">
            <wp:extent cx="5238750" cy="1524000"/>
            <wp:effectExtent l="0" t="0" r="0" b="0"/>
            <wp:docPr id="453519139" name="Matrices de transicion Markoviana PAC States tres escalas" descr="Matrices de transicion Markoviana PAC States tres escalas" title="Matrices de transicion Markoviana PAC States tres escal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42F4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6.5. </w:t>
      </w:r>
      <w:r>
        <w:rPr>
          <w:i/>
          <w:iCs/>
          <w:sz w:val="20"/>
          <w:szCs w:val="20"/>
        </w:rPr>
        <w:t xml:space="preserve">Matrices de transición Markoviana de los PAC States en las tres escalas. La intensidad del color representa la probabilidad de transición del estado fila al estado columna. </w:t>
      </w:r>
      <w:r>
        <w:rPr>
          <w:i/>
          <w:iCs/>
          <w:sz w:val="20"/>
          <w:szCs w:val="20"/>
        </w:rPr>
        <w:lastRenderedPageBreak/>
        <w:t>Los atractores del sistema (S1, M0, L3) presentan alta probabilidad de auto-transición. Los estados patológicos (S6, M1, L0) muestran probabilidades de salida reducidas, consistentes con la baja resiliencia observada en §6.5.</w:t>
      </w:r>
    </w:p>
    <w:p w14:paraId="7FD36AC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5. Transiciones: S = 462.519; M = 45.900; L = 7.196. Cadenas Markov de primer orden, 12 pacientes.</w:t>
      </w:r>
    </w:p>
    <w:p>
      <w:pPr>
        <w:spacing w:after="200"/>
      </w:pPr>
      <w:r>
        <w:t/>
      </w:r>
    </w:p>
    <w:p w14:paraId="0617891D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6E33EA0D" wp14:editId="58A6E7BD">
            <wp:extent cx="5238750" cy="2886075"/>
            <wp:effectExtent l="0" t="0" r="0" b="0"/>
            <wp:docPr id="1756183999" name="Diagrama conceptual resiliencia peri-evento por escala temporal" descr="Diagrama conceptual resiliencia peri-evento por escala temporal" title="Diagrama conceptual resiliencia peri-evento por escala tempo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D1C2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6.5c. </w:t>
      </w:r>
      <w:r>
        <w:rPr>
          <w:i/>
          <w:iCs/>
          <w:sz w:val="20"/>
          <w:szCs w:val="20"/>
        </w:rPr>
        <w:t>Dinámica peri-evento y resiliencia fisiológica. Tras un evento severo (C4/C5), la probabilidad de permanecer en estado patológico cae a distintas velocidades: 43,3 % a los 30 s (escala S), 12,3 % a los 5 min (escala M), 1,3 % a los 30 min (escala L). La inercia crece con la escala temporal.</w:t>
      </w:r>
    </w:p>
    <w:p w14:paraId="57C2F078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Porcentajes calculados sobre corpus de 560 noches (NB05 §4).</w:t>
      </w:r>
    </w:p>
    <w:p>
      <w:pPr>
        <w:spacing w:after="200"/>
      </w:pPr>
      <w:r>
        <w:t/>
      </w:r>
    </w:p>
    <w:p w14:paraId="4D2D04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233983F" wp14:editId="4064AB30">
            <wp:extent cx="5238750" cy="2390775"/>
            <wp:effectExtent l="0" t="0" r="0" b="0"/>
            <wp:docPr id="340051649" name="Trayectorias nocturnas PAC espacio PCA fenotipos" descr="Trayectorias nocturnas PAC espacio PCA fenotipos" title="Trayectorias nocturnas PAC espacio PCA fenot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689E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6.6. </w:t>
      </w:r>
      <w:r>
        <w:rPr>
          <w:i/>
          <w:iCs/>
          <w:sz w:val="20"/>
          <w:szCs w:val="20"/>
        </w:rPr>
        <w:t>Trayectorias nocturnas en el espacio PCA (PC1 × PC2), coloreadas por fenotipo dinámico PAC. PC1 (33,6 %) representa el gradiente de carga hipóxica / respuesta autonómica; PC2 (23,6 %) el gradiente de dinamismo. El fenotipo Carga Hipóxica Alta se localiza en el extremo negativo de PC1 con baja variabilidad.</w:t>
      </w:r>
    </w:p>
    <w:p w14:paraId="51BA5AB3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NB05, Sección 6. n = 513 noches. El fenotipo Carga Hipóxica Alta aparece en el 4,4 % de las noches AASM Moderadas y en el 0 % de las Severas.</w:t>
      </w:r>
    </w:p>
    <w:p>
      <w:pPr>
        <w:spacing w:after="200"/>
      </w:pPr>
      <w:r>
        <w:t/>
      </w:r>
    </w:p>
    <w:p w14:paraId="6CB4097D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5EF726F" wp14:editId="6E05DE71">
            <wp:extent cx="5238750" cy="2952750"/>
            <wp:effectExtent l="0" t="0" r="0" b="0"/>
            <wp:docPr id="1208954792" name="Diagrama red Markoviana PAC States escala M corredores de vulnerabilidad" descr="Diagrama red Markoviana PAC States escala M corredores de vulnerabilidad" title="Diagrama red Markoviana PAC States escala M corredores de vulnerabilid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CF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6.6c. </w:t>
      </w:r>
      <w:r>
        <w:rPr>
          <w:i/>
          <w:iCs/>
          <w:sz w:val="20"/>
          <w:szCs w:val="20"/>
        </w:rPr>
        <w:t>Red de transiciones Markovianas entre estados PAC (escala M, 45.900 transiciones). M0 es el atractor principal del sistema (★). El corredor de vulnerabilidad M3→M1 conduce sistemáticamente a eventos severos (RR × 3,3). El corredor protector M0↔M2 representa la dinámica de recuperación fisiológica. El grosor de la flecha indica frecuencia relativa de transición.</w:t>
      </w:r>
    </w:p>
    <w:p w14:paraId="26399B1D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NB05 §5. Transiciones calculadas sobre 560 noches, escala M (ventanas de 5 min).</w:t>
      </w:r>
    </w:p>
    <w:p>
      <w:pPr>
        <w:spacing w:after="200"/>
      </w:pPr>
      <w:r>
        <w:t/>
      </w:r>
    </w:p>
    <w:p w14:paraId="240B841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8D2B09D" wp14:editId="45CE7A03">
            <wp:extent cx="5238750" cy="4181475"/>
            <wp:effectExtent l="0" t="0" r="0" b="0"/>
            <wp:docPr id="1883059579" name="Feature importance Gini Random Forest LOPO-CV NB06" descr="Feature importance Gini Random Forest LOPO-CV NB06" title="Feature importance Gini Random Forest LOPO-CV N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686BF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6.7. </w:t>
      </w:r>
      <w:r>
        <w:rPr>
          <w:i/>
          <w:iCs/>
          <w:sz w:val="20"/>
          <w:szCs w:val="20"/>
        </w:rPr>
        <w:t>Top-25 features por importancia Gini (Random Forest, LOPO-CV, NB06). Las barras están coloreadas por grupo. Los PAC States dominan el ranking; la variable más importante es frac_state_s_S3 (Gini = 0,0860). El ARI queda en las posiciones más bajas, consistente con su ortogonalidad respecto a la severidad hipóxica.</w:t>
      </w:r>
    </w:p>
    <w:p w14:paraId="08FC2FEC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n = 540 noches, 8 pacientes. Barras = media ± SD sobre los 8 folds LOPO-CV.</w:t>
      </w:r>
    </w:p>
    <w:p>
      <w:pPr>
        <w:spacing w:after="200"/>
      </w:pPr>
      <w:r>
        <w:t/>
      </w:r>
    </w:p>
    <w:p w14:paraId="4535160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7108257A" wp14:editId="6092BFBD">
            <wp:extent cx="5238750" cy="2952750"/>
            <wp:effectExtent l="0" t="0" r="0" b="0"/>
            <wp:docPr id="1382551798" name="Diagrama tres fenotipos de trayectoria nocturna PAC K=3" descr="Diagrama tres fenotipos de trayectoria nocturna PAC K=3" title="Diagrama tres fenotipos de trayectoria nocturna PAC K=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B5ED1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6.7c. </w:t>
      </w:r>
      <w:r>
        <w:rPr>
          <w:i/>
          <w:iCs/>
          <w:sz w:val="20"/>
          <w:szCs w:val="20"/>
        </w:rPr>
        <w:t>Tres fenotipos de trayectoria nocturna (K-means K=3, NB05 §6). Estable-Protector (28 %): dominancia M0/M2, eventos escasos, Risk Score PAC bajo. Carga Intermedia (70 %): alternancia M0–M1–M2, recuperación entre episodios. Carga Hipóxica Alta (1 %): dominancia M1 sostenida, sin consolidación protectora, Risk Score PAC alto. Hallazgo clave: el fenotipo CHA puede presentarse en pacientes con ODI3 = 14 ev/h (Moderado AASM).</w:t>
      </w:r>
    </w:p>
    <w:p w14:paraId="039141F5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Diagrama conceptual. Distribuciones de estados y Risk Score consistentes con corpus NB05 §6 / NB07 Bloque D.</w:t>
      </w:r>
    </w:p>
    <w:p>
      <w:pPr>
        <w:spacing w:after="200"/>
      </w:pPr>
      <w:r>
        <w:t/>
      </w:r>
    </w:p>
    <w:p w14:paraId="5F1A41DA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1DABCF4C" wp14:editId="633C5326">
            <wp:extent cx="5238750" cy="3019425"/>
            <wp:effectExtent l="0" t="0" r="0" b="0"/>
            <wp:docPr id="440286863" name="Diagrama conceptual ablacion importancia features PAC vs clinicas" descr="Diagrama conceptual ablacion importancia features PAC vs clinicas" title="Diagrama conceptual ablacion importancia features PAC vs clin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2ED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6.8c. </w:t>
      </w:r>
      <w:r>
        <w:rPr>
          <w:i/>
          <w:iCs/>
          <w:sz w:val="20"/>
          <w:szCs w:val="20"/>
        </w:rPr>
        <w:t>Importancia predictiva por grupo de features: experimento de ablación (izquierda) y barra de contribución acumulada (derecha). Al eliminar PAC States, el rendimiento cae −44,8 %. Al eliminar ARI, la caída es de solo −3,4 %, consistente con su ortogonalidad respecto a la severidad clínica (ρ = 0,034). Las representaciones PAC suman el 79,7 % del peso predictivo total, aprendidas sin supervisión de etiquetas clínicas. El modelo "PAC only" supera al modelo clínico puro (0,521 vs. 0,354).</w:t>
      </w:r>
    </w:p>
    <w:p w14:paraId="4ADB0ED4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NB06. 540 noches, 8 pacientes, LOPO-CV.</w:t>
      </w:r>
    </w:p>
    <w:p>
      <w:pPr>
        <w:spacing w:after="200"/>
      </w:pPr>
      <w:r>
        <w:t/>
      </w:r>
    </w:p>
    <w:p w14:paraId="00F116C1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C4ED005" wp14:editId="168F02EC">
            <wp:extent cx="5238750" cy="2190750"/>
            <wp:effectExtent l="0" t="0" r="0" b="0"/>
            <wp:docPr id="1228807212" name="Heatmap probabilidad evento severo por estado M y morfotipo" descr="Heatmap probabilidad evento severo por estado M y morfotipo" title="Heatmap probabilidad evento severo por estado M y morfoti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AADA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6.9a. </w:t>
      </w:r>
      <w:r>
        <w:rPr>
          <w:color w:val="444444"/>
          <w:sz w:val="18"/>
          <w:szCs w:val="18"/>
        </w:rPr>
        <w:t>Probabilidad predicha de evento severo (C4/C5) según el estado PAC de escala M en la ventana de 5 min previa y el historial morfológico acumulado. Valores representativos del modelo LightGBM (NB07 Bloque B, LOPO-CV, n = 76.053 eventos). La combinación M1 × historial C4/C5 genera la probabilidad más alta (38,6 %), mientras que M0 o M2 con historial C1/C2 producen valores inferiores al 2 %. El estado PAC modula el riesgo de forma multiplicativa sobre el historial morfológico: el contexto dinámico amplifica o atenúa la señal de cada evento. P marginal de referencia = 5,97 %.</w:t>
      </w:r>
    </w:p>
    <w:p>
      <w:pPr>
        <w:spacing w:after="200"/>
      </w:pPr>
      <w:r>
        <w:t/>
      </w:r>
    </w:p>
    <w:p w14:paraId="4F88E98F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BDE530D" wp14:editId="0B24F716">
            <wp:extent cx="5238750" cy="3019425"/>
            <wp:effectExtent l="0" t="0" r="0" b="0"/>
            <wp:docPr id="1926100748" name="Diagrama conceptual modelo predictivo evento severo NB07 Bloque B" descr="Diagrama conceptual modelo predictivo evento severo NB07 Bloque B" title="Diagrama conceptual modelo predictivo evento severo NB07 Bloque 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4EF43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6.9c. </w:t>
      </w:r>
      <w:r>
        <w:rPr>
          <w:i/>
          <w:iCs/>
          <w:sz w:val="20"/>
          <w:szCs w:val="20"/>
        </w:rPr>
        <w:t>Modelo de predicción de evento severo (NB07 Bloque B): lectura causal evento a evento. La probabilidad P(severo) se actualiza con cada nuevo evento usando solo el historial de los últimos 5 min. El mismo estado M1 genera P = 8 % al inicio de la noche y P = 38,6 % tras tres eventos C4/C5 previos. Las cinco features más importantes (gain LightGBM) reflejan el contexto acumulado: posición en la noche, morfología reciente, CI acumulado, estado S activo y trayectoria M reciente.</w:t>
      </w:r>
    </w:p>
    <w:p w14:paraId="6B0BAEC9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B. n = 76.053 eventos, 8 pacientes. Features calculadas causalmente.</w:t>
      </w:r>
    </w:p>
    <w:p>
      <w:pPr>
        <w:spacing w:after="200"/>
      </w:pPr>
      <w:r>
        <w:t/>
      </w:r>
    </w:p>
    <w:p w14:paraId="1015B4A3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2427C6E8" wp14:editId="250689CD">
            <wp:extent cx="5238750" cy="2276475"/>
            <wp:effectExtent l="0" t="0" r="0" b="0"/>
            <wp:docPr id="1309691282" name="Panel dos noches contrastadas Risk Score PAC" descr="Panel dos noches contrastadas Risk Score PAC" title="Panel dos noches contrastadas Risk Score P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8C43" w14:textId="77777777" w:rsidR="0087342B" w:rsidRDefault="00000000">
      <w:pPr>
        <w:spacing w:before="80" w:after="200"/>
      </w:pPr>
      <w:r>
        <w:rPr>
          <w:b/>
          <w:bCs/>
          <w:color w:val="444444"/>
          <w:sz w:val="18"/>
          <w:szCs w:val="18"/>
        </w:rPr>
        <w:t xml:space="preserve">Figura 6.11a. </w:t>
      </w:r>
      <w:r>
        <w:rPr>
          <w:color w:val="444444"/>
          <w:sz w:val="18"/>
          <w:szCs w:val="18"/>
        </w:rPr>
        <w:t>Dos noches con ODI3 ≈ 14 ev/h (clasificación AASM idéntica: Moderado) y perfiles PAC opuestos. Noche A: dominancia de estados protectores M0/M2 (79 % del tiempo), fracción M1 = 2 %, ARI = 0,521, Risk Score PAC = 18/100. Noche B: dominancia de M1 (71 %), fracción M0 = 8 %, ARI = 0,284, Risk Score PAC = 84/100 — el fenotipo de Carga Hipóxica Alta descrito en §6.7. La arquitectura dinámica nocturna, invisible al ODI3, es la dimensión que el sistema PAC cuantifica y que el modelo nocturno (AUC = 0,874) aprende a separar.</w:t>
      </w:r>
    </w:p>
    <w:p>
      <w:pPr>
        <w:spacing w:after="200"/>
      </w:pPr>
      <w:r>
        <w:t/>
      </w:r>
    </w:p>
    <w:p w14:paraId="0A27D279" w14:textId="77777777" w:rsidR="0087342B" w:rsidRDefault="00000000">
      <w:p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381579EC" wp14:editId="2AF31892">
            <wp:extent cx="5238750" cy="3019425"/>
            <wp:effectExtent l="0" t="0" r="0" b="0"/>
            <wp:docPr id="964442977" name="Diagrama conceptual modelo predictivo nocturno binario NB07 Bloque C" descr="Diagrama conceptual modelo predictivo nocturno binario NB07 Bloque C" title="Diagrama conceptual modelo predictivo nocturno binario NB07 Bloque 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2E6B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6.11c. </w:t>
      </w:r>
      <w:r>
        <w:rPr>
          <w:i/>
          <w:iCs/>
          <w:sz w:val="20"/>
          <w:szCs w:val="20"/>
        </w:rPr>
        <w:t>Modelo predictivo nocturno (NB07 Bloque C): la noche completa resumida en un vector de features PAC. Dos noches con ODI3 idéntico (14 ev/h) producen vectores opuestos (frac_M0 = 0,79 vs. 0,08; frac_M1 = 0,02 vs. 0,71) y clasificaciones distintas (Normal/Leve, Score=18 vs. Moderado/Severo, Score=84). Las cuatro fracciones de estados M explican el 69,4 % de la importancia predictiva total.</w:t>
      </w:r>
    </w:p>
    <w:p w14:paraId="187B9D2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C. n = 540 noches, 8 pacientes. Regresión logística LOPO-CV.</w:t>
      </w:r>
    </w:p>
    <w:p>
      <w:pPr>
        <w:spacing w:after="200"/>
      </w:pPr>
      <w:r>
        <w:t/>
      </w:r>
    </w:p>
    <w:p w14:paraId="3D157832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17A6513" wp14:editId="5F84695C">
            <wp:extent cx="5238750" cy="3019425"/>
            <wp:effectExtent l="0" t="0" r="0" b="0"/>
            <wp:docPr id="1170233807" name="Diagrama conceptual Risk Score PAC integracion evento noche escala 0-100" descr="Diagrama conceptual Risk Score PAC integracion evento noche escala 0-100" title="Diagrama conceptual Risk Score PAC integracion evento noche escala 0-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E25D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6.12c. </w:t>
      </w:r>
      <w:r>
        <w:rPr>
          <w:i/>
          <w:iCs/>
          <w:sz w:val="20"/>
          <w:szCs w:val="20"/>
        </w:rPr>
        <w:t>Risk Score PAC: integración de componente evento (40 %, LightGBM) y componente nocturno (60 %, regresión logística) en una escala 0–100. El gradiente por categoría AASM muestra el salto de +43 puntos entre Leve (29,4) y Moderado (72,9). El umbral operacional ≥ 60 detecta el 100 % de las noches Severas sin necesidad de interpretar probabilidades continuas.</w:t>
      </w:r>
    </w:p>
    <w:p w14:paraId="4BE8FF9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 Bloque D. Gradiente calculado sobre 540 noches, 8 pacientes.</w:t>
      </w:r>
    </w:p>
    <w:p>
      <w:pPr>
        <w:spacing w:after="200"/>
      </w:pPr>
      <w:r>
        <w:t/>
      </w:r>
    </w:p>
    <w:p w14:paraId="2C89AB07" w14:textId="77777777" w:rsidR="0087342B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8514C55" wp14:editId="41EA3830">
            <wp:extent cx="5238750" cy="2009775"/>
            <wp:effectExtent l="0" t="0" r="0" b="0"/>
            <wp:docPr id="1072944584" name="Calibracion Risk Score PAC vs probabilidades componentes" descr="Calibracion Risk Score PAC vs probabilidades componentes" title="Calibracion Risk Score PAC vs probabilidades compone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2E64A" w14:textId="77777777" w:rsidR="0087342B" w:rsidRDefault="00000000">
      <w:pPr>
        <w:spacing w:before="80" w:after="60"/>
        <w:ind w:left="220"/>
      </w:pPr>
      <w:r>
        <w:rPr>
          <w:b/>
          <w:bCs/>
          <w:color w:val="1E3A5F"/>
          <w:sz w:val="20"/>
          <w:szCs w:val="20"/>
        </w:rPr>
        <w:t xml:space="preserve">Figura 6.14. </w:t>
      </w:r>
      <w:r>
        <w:rPr>
          <w:i/>
          <w:iCs/>
          <w:sz w:val="20"/>
          <w:szCs w:val="20"/>
        </w:rPr>
        <w:t>Calibración del Risk Score PAC. Panel izquierdo: score versus probabilidad del componente nocturno p(alto riesgo) × 100. Panel derecho: score versus probabilidad media de evento severo p_severo_mean × 100. Los colores representan las cuatro categorías AASM. La separación entre grupos Moderado+Severo (rojo/violeta) y Normal+Leve (azul/verde) es clara en ambos paneles.</w:t>
      </w:r>
    </w:p>
    <w:p w14:paraId="2AF967F2" w14:textId="77777777" w:rsidR="0087342B" w:rsidRDefault="00000000">
      <w:pPr>
        <w:spacing w:after="220"/>
        <w:ind w:left="220"/>
      </w:pPr>
      <w:r>
        <w:rPr>
          <w:i/>
          <w:iCs/>
          <w:color w:val="444444"/>
          <w:sz w:val="18"/>
          <w:szCs w:val="18"/>
        </w:rPr>
        <w:t>Nota. Origen: NB07, Bloque D. n = 540 noches.</w:t>
      </w:r>
    </w:p>
    <w:p>
      <w:pPr>
        <w:spacing w:after="200"/>
      </w:pPr>
      <w:r>
        <w:t/>
      </w:r>
    </w:p>
    <w:sectPr>
      <w:headerReference w:type="default" r:id="rId2"/>
      <w:footerReference w:type="default" r:id="rId3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r="http://schemas.openxmlformats.org/officeDocument/2006/relationships"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6220F" w14:textId="77777777" w:rsidR="0087342B" w:rsidRDefault="00000000">
    <w:pPr>
      <w:pBdr>
        <w:top w:val="single" w:sz="4" w:space="4" w:color="D0D8E4"/>
      </w:pBdr>
      <w:jc w:val="right"/>
    </w:pPr>
    <w:r>
      <w:rPr>
        <w:color w:val="6B7280"/>
        <w:sz w:val="18"/>
        <w:szCs w:val="18"/>
      </w:rPr>
      <w:t xml:space="preserve">Roberto Inza · Universidad Austral · 2026       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A6607A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r="http://schemas.openxmlformats.org/officeDocument/2006/relationships"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DD82" w14:textId="77777777" w:rsidR="0087342B" w:rsidRDefault="00000000">
    <w:pPr>
      <w:pBdr>
        <w:bottom w:val="single" w:sz="4" w:space="4" w:color="D0D8E4"/>
      </w:pBdr>
      <w:tabs>
        <w:tab w:val="right" w:pos="8666"/>
      </w:tabs>
    </w:pPr>
    <w:r>
      <w:rPr>
        <w:color w:val="6B7280"/>
        <w:sz w:val="18"/>
        <w:szCs w:val="18"/>
      </w:rPr>
      <w:t>Proyecto APNEA · Tesis de Maestría</w:t>
    </w:r>
    <w:r>
      <w:rPr>
        <w:sz w:val="18"/>
        <w:szCs w:val="18"/>
      </w:rPr>
      <w:tab/>
    </w:r>
    <w:r>
      <w:rPr>
        <w:i/>
        <w:iCs/>
        <w:color w:val="6B7280"/>
        <w:sz w:val="18"/>
        <w:szCs w:val="18"/>
      </w:rPr>
      <w:t>Capítulo 6 — Modelado predictivo  (v14)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42B"/>
    <w:rsid w:val="000B4FE3"/>
    <w:rsid w:val="000D6075"/>
    <w:rsid w:val="0087342B"/>
    <w:rsid w:val="00A6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85D10BE"/>
  <w15:docId w15:val="{0A9BA9C1-4D06-0543-9C92-5CDEC8951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AR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1E3A5F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fontTable" Target="fontTable.xml"/>
<Relationship Id="rId5" Type="http://schemas.openxmlformats.org/officeDocument/2006/relationships/settings" Target="settings.xml"/>
<Relationship Id="rId6" Type="http://schemas.openxmlformats.org/officeDocument/2006/relationships/theme" Target="theme/theme1.xml"/>
<Relationship Id="rId7" Type="http://schemas.openxmlformats.org/officeDocument/2006/relationships/image" Target="media/image1.png"/>
<Relationship Id="rId8" Type="http://schemas.openxmlformats.org/officeDocument/2006/relationships/image" Target="media/image2.png"/>
<Relationship Id="rId9" Type="http://schemas.openxmlformats.org/officeDocument/2006/relationships/image" Target="media/image3.png"/>
<Relationship Id="rId10" Type="http://schemas.openxmlformats.org/officeDocument/2006/relationships/image" Target="media/image4.png"/>
<Relationship Id="rId11" Type="http://schemas.openxmlformats.org/officeDocument/2006/relationships/image" Target="media/image5.png"/>
<Relationship Id="rId12" Type="http://schemas.openxmlformats.org/officeDocument/2006/relationships/image" Target="media/image6.png"/>
<Relationship Id="rId13" Type="http://schemas.openxmlformats.org/officeDocument/2006/relationships/image" Target="media/image8.png"/>
<Relationship Id="rId14" Type="http://schemas.openxmlformats.org/officeDocument/2006/relationships/image" Target="media/image7.png"/>
<Relationship Id="rId15" Type="http://schemas.openxmlformats.org/officeDocument/2006/relationships/image" Target="media/image10.png"/>
<Relationship Id="rId16" Type="http://schemas.openxmlformats.org/officeDocument/2006/relationships/image" Target="media/image9.png"/>
<Relationship Id="rId17" Type="http://schemas.openxmlformats.org/officeDocument/2006/relationships/image" Target="media/image12.png"/>
<Relationship Id="rId18" Type="http://schemas.openxmlformats.org/officeDocument/2006/relationships/image" Target="media/image11.png"/>
<Relationship Id="rId19" Type="http://schemas.openxmlformats.org/officeDocument/2006/relationships/image" Target="media/image14.png"/>
<Relationship Id="rId20" Type="http://schemas.openxmlformats.org/officeDocument/2006/relationships/image" Target="media/image13.png"/>
<Relationship Id="rId21" Type="http://schemas.openxmlformats.org/officeDocument/2006/relationships/image" Target="media/image16.png"/>
<Relationship Id="rId22" Type="http://schemas.openxmlformats.org/officeDocument/2006/relationships/image" Target="media/image17.png"/>
<Relationship Id="rId23" Type="http://schemas.openxmlformats.org/officeDocument/2006/relationships/image" Target="media/image19.png"/>
<Relationship Id="rId24" Type="http://schemas.openxmlformats.org/officeDocument/2006/relationships/image" Target="media/image20.png"/>
<Relationship Id="rId25" Type="http://schemas.openxmlformats.org/officeDocument/2006/relationships/image" Target="media/image22.png"/>
<Relationship Id="rId26" Type="http://schemas.openxmlformats.org/officeDocument/2006/relationships/image" Target="media/image25.png"/>
<Relationship Id="rId27" Type="http://schemas.openxmlformats.org/officeDocument/2006/relationships/image" Target="media/image24.png"/>
<Relationship Id="rId_en" Type="http://schemas.openxmlformats.org/officeDocument/2006/relationships/endnotes" Target="endnotes.xml"/>
<Relationship Id="rId_fn" Type="http://schemas.openxmlformats.org/officeDocument/2006/relationships/footnotes" Target="footnotes.xml"/>
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cap05_fig51.png"/><Relationship Id="rId33" Type="http://schemas.openxmlformats.org/officeDocument/2006/relationships/image" Target="media/cap05_fig5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