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r>
        <w:rPr>
          <w:b/>
        </w:rPr>
        <w:t xml:space="preserve">Cap04 — Fenotipado Morfológico y Reactividad Autonómica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4.3. Perfiles de frecuencia cardíaca (FC, fila A) y movimiento (MOV, fila B) por morfotipo C1–C5.</w:t>
      </w:r>
    </w:p>
    <w:p>
      <w: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4.5. Análisis within-stratum del ARI: diferencias entre ARI-alto y ARI-bajo dentro de cada estrato de severidad ODI3.</w:t>
      </w:r>
    </w:p>
    <w:p>
      <w:r>
        <w:t xml:space="preserve">Nota. Estratos ODI3: Leve (&lt; 5 ev/h), Moderado (5–15 ev/h), Grave (15–30 ev/h), Muy grave (&gt; 30 ev/h). (a) HR gain mediana (lpm/pp) para ARI-alto vs ARI-bajo: diferencia significativa en todos los estratos (*** p &lt; 0,001). (b) Fracción de morfotipos severos C4+C5 por grupo ARI: diferencia significativa en Moderado y Muy grave. (c) T90 (fracción de tiempo con SpO₂ &lt; 90 %) por grupo ARI: diferencia significativa en Leve, Moderado y Muy grave. ns: no significativo. Análisis realizado con prueba de Mann-Whitney U con corrección de Bonferroni.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4.6. Estabilización del ODI3 con el número de noches promediadas (simulación bootstrap, cohorte estricta, 8 pacientes).</w:t>
      </w:r>
    </w:p>
    <w:p>
      <w:r>
        <w:t xml:space="preserve">Nota. Cohorte estricta: 8 pacientes con ≥ 10 noches in_quality. (A) Error absoluto medio (MAE, ev/h) del ODI3 vs número de noches promediadas; banda sombreada: IQR bootstrap (300 iteraciones). Línea punteada roja: umbral operacional MAE = 2 ev/h, alcanzado aproximadamente a partir de 4 noches. (B) ICC(1,1) vs número de noches; los valores crecen desde 0,70 (1 noche) hasta 0,98 (14 noches).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4.7. Validación multi-noche del ARI: MAE bootstrap y análisis de concordancia Bland-Altman.</w:t>
      </w:r>
    </w:p>
    <w:p>
      <w:r>
        <w:t xml:space="preserve">Nota. (A) MAE bootstrap (IC 95 %) del ARI paciente-nivel vs número de noches promediadas; umbral operacional ARI = 0,05 indicado con línea punteada. El MAE desciende por debajo de 0,01 desde las primeras noches. (B) Análisis de Bland-Altman: diferencia entre ARI de 1 noche y media multi-noche versus promedio de ambas; sesgo = 0,001 (línea roja), límites de acuerdo (LoA) ± 0,097 (líneas punteadas naranjas). La variabilidad residual es homogénea en todo el rango del ARI.</w:t>
      </w:r>
    </w:p>
    <w:p/>
    <w:p>
      <w:r>
        <w:t xml:space="preserve">Tabla 4.3. Correspondencia entre morfotipos escalares (α–κ, K = 10) y morfotipos de curva (C1–C5).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Morfotipo escalar</w:t>
            </w:r>
          </w:p>
        </w:tc>
        <w:tc>
          <w:p>
            <w:r>
              <w:rPr>
                <w:b/>
              </w:rPr>
              <w:t xml:space="preserve">N eventos</w:t>
            </w:r>
          </w:p>
        </w:tc>
        <w:tc>
          <w:p>
            <w:r>
              <w:rPr>
                <w:b/>
              </w:rPr>
              <w:t xml:space="preserve">C4+C5 (%)</w:t>
            </w:r>
          </w:p>
        </w:tc>
        <w:tc>
          <w:p>
            <w:r>
              <w:rPr>
                <w:b/>
              </w:rPr>
              <w:t xml:space="preserve">Alineación principal</w:t>
            </w:r>
          </w:p>
        </w:tc>
        <w:tc>
          <w:p>
            <w:r>
              <w:rPr>
                <w:b/>
              </w:rPr>
              <w:t xml:space="preserve">Perfil</w:t>
            </w:r>
          </w:p>
        </w:tc>
      </w:tr>
      <w:tr>
        <w:tc>
          <w:p>
            <w:r>
              <w:t xml:space="preserve">β</w:t>
            </w:r>
          </w:p>
        </w:tc>
        <w:tc>
          <w:p>
            <w:r>
              <w:t xml:space="preserve">51.801</w:t>
            </w:r>
          </w:p>
        </w:tc>
        <w:tc>
          <w:p>
            <w:r>
              <w:t xml:space="preserve">0,0 %</w:t>
            </w:r>
          </w:p>
        </w:tc>
        <w:tc>
          <w:p>
            <w:r>
              <w:t xml:space="preserve">→ C1 (87,4 %)</w:t>
            </w:r>
          </w:p>
        </w:tc>
        <w:tc>
          <w:p>
            <w:r>
              <w:t xml:space="preserve">Dominante subcrítico — 60,8 % del corpus</w:t>
            </w:r>
          </w:p>
        </w:tc>
      </w:tr>
      <w:tr>
        <w:tc>
          <w:p>
            <w:r>
              <w:t xml:space="preserve">γ</w:t>
            </w:r>
          </w:p>
        </w:tc>
        <w:tc>
          <w:p>
            <w:r>
              <w:t xml:space="preserve">8.590</w:t>
            </w:r>
          </w:p>
        </w:tc>
        <w:tc>
          <w:p>
            <w:r>
              <w:t xml:space="preserve">1,0 %</w:t>
            </w:r>
          </w:p>
        </w:tc>
        <w:tc>
          <w:p>
            <w:r>
              <w:t xml:space="preserve">→ C1 (61,7 %), C2 (34,8 %)</w:t>
            </w:r>
          </w:p>
        </w:tc>
        <w:tc>
          <w:p>
            <w:r>
              <w:t xml:space="preserve">C1/C2 mixto — baja carga hipóxica</w:t>
            </w:r>
          </w:p>
        </w:tc>
      </w:tr>
      <w:tr>
        <w:tc>
          <w:p>
            <w:r>
              <w:t xml:space="preserve">η</w:t>
            </w:r>
          </w:p>
        </w:tc>
        <w:tc>
          <w:p>
            <w:r>
              <w:t xml:space="preserve">7.286</w:t>
            </w:r>
          </w:p>
        </w:tc>
        <w:tc>
          <w:p>
            <w:r>
              <w:t xml:space="preserve">1,2 %</w:t>
            </w:r>
          </w:p>
        </w:tc>
        <w:tc>
          <w:p>
            <w:r>
              <w:t xml:space="preserve">→ C2 (58,6 %), C1 (35,6 %)</w:t>
            </w:r>
          </w:p>
        </w:tc>
        <w:tc>
          <w:p>
            <w:r>
              <w:t xml:space="preserve">Leve-moderado con buena recuperación</w:t>
            </w:r>
          </w:p>
        </w:tc>
      </w:tr>
      <w:tr>
        <w:tc>
          <w:p>
            <w:r>
              <w:t xml:space="preserve">κ</w:t>
            </w:r>
          </w:p>
        </w:tc>
        <w:tc>
          <w:p>
            <w:r>
              <w:t xml:space="preserve">6.739</w:t>
            </w:r>
          </w:p>
        </w:tc>
        <w:tc>
          <w:p>
            <w:r>
              <w:t xml:space="preserve">17,1 %</w:t>
            </w:r>
          </w:p>
        </w:tc>
        <w:tc>
          <w:p>
            <w:r>
              <w:t xml:space="preserve">→ C2 (60,1 %), C4 (17,0 %)</w:t>
            </w:r>
          </w:p>
        </w:tc>
        <w:tc>
          <w:p>
            <w:r>
              <w:t xml:space="preserve">C2 dominante con fracción severa moderada</w:t>
            </w:r>
          </w:p>
        </w:tc>
      </w:tr>
      <w:tr>
        <w:tc>
          <w:p>
            <w:r>
              <w:t xml:space="preserve">α</w:t>
            </w:r>
          </w:p>
        </w:tc>
        <w:tc>
          <w:p>
            <w:r>
              <w:t xml:space="preserve">4.675</w:t>
            </w:r>
          </w:p>
        </w:tc>
        <w:tc>
          <w:p>
            <w:r>
              <w:t xml:space="preserve">29,1 %</w:t>
            </w:r>
          </w:p>
        </w:tc>
        <w:tc>
          <w:p>
            <w:r>
              <w:t xml:space="preserve">→ C2 (37,1 %), C3 (30,1 %), C4 (28,0 %)</w:t>
            </w:r>
          </w:p>
        </w:tc>
        <w:tc>
          <w:p>
            <w:r>
              <w:t xml:space="preserve">Mixto severo-moderado; fronteras difusas entre C2/C3/C4</w:t>
            </w:r>
          </w:p>
        </w:tc>
      </w:tr>
      <w:tr>
        <w:tc>
          <w:p>
            <w:r>
              <w:t xml:space="preserve">ζ</w:t>
            </w:r>
          </w:p>
        </w:tc>
        <w:tc>
          <w:p>
            <w:r>
              <w:t xml:space="preserve">3.698</w:t>
            </w:r>
          </w:p>
        </w:tc>
        <w:tc>
          <w:p>
            <w:r>
              <w:t xml:space="preserve">24,0 %</w:t>
            </w:r>
          </w:p>
        </w:tc>
        <w:tc>
          <w:p>
            <w:r>
              <w:t xml:space="preserve">→ C2 (46,4 %), C4 (23,1 %), C3 (21,1 %)</w:t>
            </w:r>
          </w:p>
        </w:tc>
        <w:tc>
          <w:p>
            <w:r>
              <w:t xml:space="preserve">Mixto moderado-severo; contribución severa relevante</w:t>
            </w:r>
          </w:p>
        </w:tc>
      </w:tr>
      <w:tr>
        <w:tc>
          <w:p>
            <w:r>
              <w:t xml:space="preserve">ε</w:t>
            </w:r>
          </w:p>
        </w:tc>
        <w:tc>
          <w:p>
            <w:r>
              <w:t xml:space="preserve">548</w:t>
            </w:r>
          </w:p>
        </w:tc>
        <w:tc>
          <w:p>
            <w:r>
              <w:t xml:space="preserve">20,6 %</w:t>
            </w:r>
          </w:p>
        </w:tc>
        <w:tc>
          <w:p>
            <w:r>
              <w:t xml:space="preserve">→ C3 (68,2 %)</w:t>
            </w:r>
          </w:p>
        </w:tc>
        <w:tc>
          <w:p>
            <w:r>
              <w:t xml:space="preserve">Predominio C3 — severo agudo</w:t>
            </w:r>
          </w:p>
        </w:tc>
      </w:tr>
      <w:tr>
        <w:tc>
          <w:p>
            <w:r>
              <w:t xml:space="preserve">ι</w:t>
            </w:r>
          </w:p>
        </w:tc>
        <w:tc>
          <w:p>
            <w:r>
              <w:t xml:space="preserve">201</w:t>
            </w:r>
          </w:p>
        </w:tc>
        <w:tc>
          <w:p>
            <w:r>
              <w:t xml:space="preserve">68,2 %</w:t>
            </w:r>
          </w:p>
        </w:tc>
        <w:tc>
          <w:p>
            <w:r>
              <w:t xml:space="preserve">→ C4 (48,3 %), C5 (19,9 %)</w:t>
            </w:r>
          </w:p>
        </w:tc>
        <w:tc>
          <w:p>
            <w:r>
              <w:t xml:space="preserve">Severo C4/C5 — alta tasa de eventos críticos</w:t>
            </w:r>
          </w:p>
        </w:tc>
      </w:tr>
      <w:tr>
        <w:tc>
          <w:p>
            <w:r>
              <w:t xml:space="preserve">θ</w:t>
            </w:r>
          </w:p>
        </w:tc>
        <w:tc>
          <w:p>
            <w:r>
              <w:t xml:space="preserve">1.597</w:t>
            </w:r>
          </w:p>
        </w:tc>
        <w:tc>
          <w:p>
            <w:r>
              <w:t xml:space="preserve">71,1 %</w:t>
            </w:r>
          </w:p>
        </w:tc>
        <w:tc>
          <w:p>
            <w:r>
              <w:t xml:space="preserve">→ C4 (39,7 %), C5 (31,4 %), C3 (25,8 %)</w:t>
            </w:r>
          </w:p>
        </w:tc>
        <w:tc>
          <w:p>
            <w:r>
              <w:t xml:space="preserve">Severo mixto C4/C5 — segundo concentrador de morfotipos severos</w:t>
            </w:r>
          </w:p>
        </w:tc>
      </w:tr>
      <w:tr>
        <w:tc>
          <w:p>
            <w:r>
              <w:t xml:space="preserve">δ</w:t>
            </w:r>
          </w:p>
        </w:tc>
        <w:tc>
          <w:p>
            <w:r>
              <w:t xml:space="preserve">151</w:t>
            </w:r>
          </w:p>
        </w:tc>
        <w:tc>
          <w:p>
            <w:r>
              <w:t xml:space="preserve">94,7 %</w:t>
            </w:r>
          </w:p>
        </w:tc>
        <w:tc>
          <w:p>
            <w:r>
              <w:t xml:space="preserve">→ C5 (82,5 %), C4 (17,5 %)</w:t>
            </w:r>
          </w:p>
        </w:tc>
        <w:tc>
          <w:p>
            <w:r>
              <w:t xml:space="preserve">Concentrador máximo de C5 — morfotipo de mayor pureza severa</w:t>
            </w:r>
          </w:p>
        </w:tc>
      </w:tr>
    </w:tbl>
    <w:p>
      <w:r>
        <w:t xml:space="preserve">Nota. Datos verificados sobre gold/events.parquet (N = 85.286 EDOs). C4+C5 (%): fracción de eventos del morfotipo escalar que se alinean con morfotipos severos de curva. Alineación principal: morfotipo(s) de curva con mayor frecuencia dentro del morfotipo escalar. Los morfotipos escalares δ y θ concentran la mayor pureza de morfotipos severos C4/C5.</w:t>
      </w:r>
    </w:p>
    <w:p/>
    <w:p>
      <w:pPr>
        <w:spacing w:after="200"/>
      </w:pPr>
      <w:r>
        <w:rPr>
          <w:b/>
          <w:bCs/>
          <w:color w:val="1E3A5F"/>
          <w:sz w:val="36"/>
          <w:szCs w:val="36"/>
        </w:rPr>
        <w:t>Anexo de Material Suplementario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reúne figuras y tablas trasladadas del cuerpo principal para reducir la extensión del texto. El material está organizado por capítulo. Se conservan captions, notas y numeración originales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Cap05 — PAC States y Caracterización Multiescala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5.1. Estabilidad del ARI nocturno por paciente a lo largo de las noches monitoreadas. Cada panel corresponde a un paciente.</w:t>
      </w:r>
    </w:p>
    <w:p>
      <w:r>
        <w:t xml:space="preserve">Nota. Origen: NB03. Solo se muestran noches quality (n = 553). El orden es cronológico por fecha de registro. Las líneas horizontales indican la media del ARI nocturno del paciente; las barras de error, el IQR noche a noche.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5.5. PCA multiescala y fenotipos nocturnos (K = 3). Proyección de 560 noches quality en el plano PC1–PC2.</w:t>
      </w:r>
    </w:p>
    <w:p>
      <w:r>
        <w:t xml:space="preserve">Nota. Origen: NB04. PC1 explica el 29,2 % de la varianza (loadings dominantes: frac_s_S2, frac_s_S1, frac_m_M0); PC2 el 12,1 %. Los tres clusters se superponen parcialmente en el espacio PC1–PC2: la separación es más clara en dimensiones superiores. Colores: cluster 1 = baja severidad, cluster 2 = severidad moderada, cluster 3 = carga hipóxica alta.</w:t>
      </w:r>
    </w:p>
    <w:p/>
    <w:p>
      <w:r>
        <w:t xml:space="preserve">Tabla 5.4. Matriz síntesis: estado PAC clave por dimensión fisiológica y escala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Escala</w:t>
            </w:r>
          </w:p>
        </w:tc>
        <w:tc>
          <w:p>
            <w:r>
              <w:rPr>
                <w:b/>
              </w:rPr>
              <w:t xml:space="preserve">Estado clave</w:t>
            </w:r>
          </w:p>
        </w:tc>
        <w:tc>
          <w:p>
            <w:r>
              <w:rPr>
                <w:b/>
              </w:rPr>
              <w:t xml:space="preserve">Dimensión fisiológica</w:t>
            </w:r>
          </w:p>
        </w:tc>
        <w:tc>
          <w:p>
            <w:r>
              <w:rPr>
                <w:b/>
              </w:rPr>
              <w:t xml:space="preserve">Mejor ρ Spearman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Frecuencia de eventos (AHI / ODI)</w:t>
            </w:r>
          </w:p>
        </w:tc>
        <w:tc>
          <w:p>
            <w:r>
              <w:t xml:space="preserve">+0,691  (AHI3)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Reactividad autonómica (ARI)</w:t>
            </w:r>
          </w:p>
        </w:tc>
        <w:tc>
          <w:p>
            <w:r>
              <w:t xml:space="preserve">+0,637  (ARI media)</w:t>
            </w:r>
          </w:p>
        </w:tc>
      </w:tr>
      <w:tr>
        <w:tc>
          <w:p>
            <w:r>
              <w:t xml:space="preserve">M — 5 min</w:t>
            </w:r>
          </w:p>
        </w:tc>
        <w:tc>
          <w:p>
            <w:r>
              <w:t xml:space="preserve">M1</w:t>
            </w:r>
          </w:p>
        </w:tc>
        <w:tc>
          <w:p>
            <w:r>
              <w:t xml:space="preserve">Carga hipóxica acumulada (T90, HB3)</w:t>
            </w:r>
          </w:p>
        </w:tc>
        <w:tc>
          <w:p>
            <w:r>
              <w:t xml:space="preserve">+0,744  (T90)</w:t>
            </w:r>
          </w:p>
        </w:tc>
      </w:tr>
      <w:tr>
        <w:tc>
          <w:p>
            <w:r>
              <w:t xml:space="preserve">L — 30 min</w:t>
            </w:r>
          </w:p>
        </w:tc>
        <w:tc>
          <w:p>
            <w:r>
              <w:t xml:space="preserve">L0</w:t>
            </w:r>
          </w:p>
        </w:tc>
        <w:tc>
          <w:p>
            <w:r>
              <w:t xml:space="preserve">Arquitectura hipóxica global (T90)</w:t>
            </w:r>
          </w:p>
        </w:tc>
        <w:tc>
          <w:p>
            <w:r>
              <w:t xml:space="preserve">+0,705  (T90 min)</w:t>
            </w:r>
          </w:p>
        </w:tc>
      </w:tr>
    </w:tbl>
    <w:p>
      <w:r>
        <w:t xml:space="preserve">Nota. Correlaciones de Spearman sobre n = 560 noches, cohorte completa (NB04). S4 y S5 pertenecen a la misma escala (S, 30 s) pero capturan dimensiones fisiológicas distintas. Esta tabla se presenta como material suplementario a la Tabla 5.3, que resume el mismo resultado en formato expandido.</w:t>
      </w:r>
    </w:p>
    <w:p/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p>
      <w:r>
        <w:rPr>
          <w:b/>
        </w:rPr>
        <w:t xml:space="preserve">Cap08 — Predicción Prospectiva con Horizonte Temporal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8.1. Dataset de ventanas: características del corpus (NB08). Panel izquierdo: prevalencia de ventanas con C4/C5 en horizontes 2, 5, 10 y 15 min. Panel derecho: distribución de la duración nocturna de registro.</w:t>
      </w:r>
    </w:p>
    <w:p>
      <w:r>
        <w:t xml:space="preserve">Nota. Origen: NB08. n = 452.955 ventanas, 8 pacientes, cohorte estricta. La prevalencia crece monótonamente con el horizonte temporal.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2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8.6. Perfil de riesgo temporal y calibración del modelo (H = 5 min, LightGBM). Panel izquierdo: riesgo medio predicho a lo largo de la noche. Panel derecho: curva de calibración observada vs. predicha.</w:t>
      </w:r>
    </w:p>
    <w:p>
      <w:r>
        <w:t xml:space="preserve">Nota. Origen: NB08. El modelo sobreestima la probabilidad absoluta en ~4× (calibración diagonal ideal vs. curva observada), consistente con el entrenamiento sin scale_pos_weight. El perfil temporal muestra mayor riesgo predicho en el primer tercio de la noche.</w:t>
      </w:r>
    </w:p>
    <w:p/>
    <w:p>
      <w:r>
        <w:t xml:space="preserve">Tabla 8.2. Prevalencia de la clase positiva por horizonte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Horizonte Δt</w:t>
            </w:r>
          </w:p>
        </w:tc>
        <w:tc>
          <w:p>
            <w:r>
              <w:rPr>
                <w:b/>
              </w:rPr>
              <w:t xml:space="preserve">Ventanas positivas</w:t>
            </w:r>
          </w:p>
        </w:tc>
        <w:tc>
          <w:p>
            <w:r>
              <w:rPr>
                <w:b/>
              </w:rPr>
              <w:t xml:space="preserve">Total ventanas</w:t>
            </w:r>
          </w:p>
        </w:tc>
        <w:tc>
          <w:p>
            <w:r>
              <w:rPr>
                <w:b/>
              </w:rPr>
              <w:t xml:space="preserve">Prevalencia (%)</w:t>
            </w:r>
          </w:p>
        </w:tc>
      </w:tr>
      <w:tr>
        <w:tc>
          <w:p>
            <w:r>
              <w:t xml:space="preserve">2 min</w:t>
            </w:r>
          </w:p>
        </w:tc>
        <w:tc>
          <w:p>
            <w:r>
              <w:t xml:space="preserve">16.951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3,74 %</w:t>
            </w:r>
          </w:p>
        </w:tc>
      </w:tr>
      <w:tr>
        <w:tc>
          <w:p>
            <w:r>
              <w:t xml:space="preserve">5 min</w:t>
            </w:r>
          </w:p>
        </w:tc>
        <w:tc>
          <w:p>
            <w:r>
              <w:t xml:space="preserve">36.438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8,04 %</w:t>
            </w:r>
          </w:p>
        </w:tc>
      </w:tr>
      <w:tr>
        <w:tc>
          <w:p>
            <w:r>
              <w:t xml:space="preserve">10 min</w:t>
            </w:r>
          </w:p>
        </w:tc>
        <w:tc>
          <w:p>
            <w:r>
              <w:t xml:space="preserve">62.853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13,88 %</w:t>
            </w:r>
          </w:p>
        </w:tc>
      </w:tr>
      <w:tr>
        <w:tc>
          <w:p>
            <w:r>
              <w:t xml:space="preserve">15 min</w:t>
            </w:r>
          </w:p>
        </w:tc>
        <w:tc>
          <w:p>
            <w:r>
              <w:t xml:space="preserve">85.583</w:t>
            </w:r>
          </w:p>
        </w:tc>
        <w:tc>
          <w:p>
            <w:r>
              <w:t xml:space="preserve">452.955</w:t>
            </w:r>
          </w:p>
        </w:tc>
        <w:tc>
          <w:p>
            <w:r>
              <w:t xml:space="preserve">18,89 %</w:t>
            </w:r>
          </w:p>
        </w:tc>
      </w:tr>
    </w:tbl>
    <w:p>
      <w:r>
        <w:t xml:space="preserve">Nota. El horizonte de 5 min constituye el punto operacional óptimo. La prevalencia aumenta con el horizonte porque ventanas más alejadas tienen más probabilidad de que ocurra algún evento severo.</w:t>
      </w:r>
    </w:p>
    <w:p/>
    <w:p>
      <w:r>
        <w:t xml:space="preserve">Tabla 8.3. Prevalencia de la clase positiva (Δt = 5 min) por paciente.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Paciente</w:t>
            </w:r>
          </w:p>
        </w:tc>
        <w:tc>
          <w:p>
            <w:r>
              <w:rPr>
                <w:b/>
              </w:rPr>
              <w:t xml:space="preserve">Ventanas totales</w:t>
            </w:r>
          </w:p>
        </w:tc>
        <w:tc>
          <w:p>
            <w:r>
              <w:rPr>
                <w:b/>
              </w:rPr>
              <w:t xml:space="preserve">Ventanas positivas</w:t>
            </w:r>
          </w:p>
        </w:tc>
        <w:tc>
          <w:p>
            <w:r>
              <w:rPr>
                <w:b/>
              </w:rPr>
              <w:t xml:space="preserve">Prevalencia (%)</w:t>
            </w:r>
          </w:p>
        </w:tc>
      </w:tr>
      <w:tr>
        <w:tc>
          <w:p>
            <w:r>
              <w:t xml:space="preserve">175</w:t>
            </w:r>
          </w:p>
        </w:tc>
        <w:tc>
          <w:p>
            <w:r>
              <w:t xml:space="preserve">21.271</w:t>
            </w:r>
          </w:p>
        </w:tc>
        <w:tc>
          <w:p>
            <w:r>
              <w:t xml:space="preserve">6.836</w:t>
            </w:r>
          </w:p>
        </w:tc>
        <w:tc>
          <w:p>
            <w:r>
              <w:t xml:space="preserve">32,1 %</w:t>
            </w:r>
          </w:p>
        </w:tc>
      </w:tr>
      <w:tr>
        <w:tc>
          <w:p>
            <w:r>
              <w:t xml:space="preserve">240</w:t>
            </w:r>
          </w:p>
        </w:tc>
        <w:tc>
          <w:p>
            <w:r>
              <w:t xml:space="preserve">19.205</w:t>
            </w:r>
          </w:p>
        </w:tc>
        <w:tc>
          <w:p>
            <w:r>
              <w:t xml:space="preserve">2.368</w:t>
            </w:r>
          </w:p>
        </w:tc>
        <w:tc>
          <w:p>
            <w:r>
              <w:t xml:space="preserve">12,3 %</w:t>
            </w:r>
          </w:p>
        </w:tc>
      </w:tr>
      <w:tr>
        <w:tc>
          <w:p>
            <w:r>
              <w:t xml:space="preserve">309</w:t>
            </w:r>
          </w:p>
        </w:tc>
        <w:tc>
          <w:p>
            <w:r>
              <w:t xml:space="preserve">53.138</w:t>
            </w:r>
          </w:p>
        </w:tc>
        <w:tc>
          <w:p>
            <w:r>
              <w:t xml:space="preserve">2.596</w:t>
            </w:r>
          </w:p>
        </w:tc>
        <w:tc>
          <w:p>
            <w:r>
              <w:t xml:space="preserve">4,9 %</w:t>
            </w:r>
          </w:p>
        </w:tc>
      </w:tr>
      <w:tr>
        <w:tc>
          <w:p>
            <w:r>
              <w:t xml:space="preserve">314</w:t>
            </w:r>
          </w:p>
        </w:tc>
        <w:tc>
          <w:p>
            <w:r>
              <w:t xml:space="preserve">7.561</w:t>
            </w:r>
          </w:p>
        </w:tc>
        <w:tc>
          <w:p>
            <w:r>
              <w:t xml:space="preserve">119</w:t>
            </w:r>
          </w:p>
        </w:tc>
        <w:tc>
          <w:p>
            <w:r>
              <w:t xml:space="preserve">1,6 %</w:t>
            </w:r>
          </w:p>
        </w:tc>
      </w:tr>
      <w:tr>
        <w:tc>
          <w:p>
            <w:r>
              <w:t xml:space="preserve">321</w:t>
            </w:r>
          </w:p>
        </w:tc>
        <w:tc>
          <w:p>
            <w:r>
              <w:t xml:space="preserve">80.438</w:t>
            </w:r>
          </w:p>
        </w:tc>
        <w:tc>
          <w:p>
            <w:r>
              <w:t xml:space="preserve">3.898</w:t>
            </w:r>
          </w:p>
        </w:tc>
        <w:tc>
          <w:p>
            <w:r>
              <w:t xml:space="preserve">4,8 %</w:t>
            </w:r>
          </w:p>
        </w:tc>
      </w:tr>
      <w:tr>
        <w:tc>
          <w:p>
            <w:r>
              <w:t xml:space="preserve">336</w:t>
            </w:r>
          </w:p>
        </w:tc>
        <w:tc>
          <w:p>
            <w:r>
              <w:t xml:space="preserve">115.701</w:t>
            </w:r>
          </w:p>
        </w:tc>
        <w:tc>
          <w:p>
            <w:r>
              <w:t xml:space="preserve">8.275</w:t>
            </w:r>
          </w:p>
        </w:tc>
        <w:tc>
          <w:p>
            <w:r>
              <w:t xml:space="preserve">7,2 %</w:t>
            </w:r>
          </w:p>
        </w:tc>
      </w:tr>
      <w:tr>
        <w:tc>
          <w:p>
            <w:r>
              <w:t xml:space="preserve">656</w:t>
            </w:r>
          </w:p>
        </w:tc>
        <w:tc>
          <w:p>
            <w:r>
              <w:t xml:space="preserve">90.886</w:t>
            </w:r>
          </w:p>
        </w:tc>
        <w:tc>
          <w:p>
            <w:r>
              <w:t xml:space="preserve">7.165</w:t>
            </w:r>
          </w:p>
        </w:tc>
        <w:tc>
          <w:p>
            <w:r>
              <w:t xml:space="preserve">7,9 %</w:t>
            </w:r>
          </w:p>
        </w:tc>
      </w:tr>
      <w:tr>
        <w:tc>
          <w:p>
            <w:r>
              <w:t xml:space="preserve">683</w:t>
            </w:r>
          </w:p>
        </w:tc>
        <w:tc>
          <w:p>
            <w:r>
              <w:t xml:space="preserve">64.755</w:t>
            </w:r>
          </w:p>
        </w:tc>
        <w:tc>
          <w:p>
            <w:r>
              <w:t xml:space="preserve">5.181</w:t>
            </w:r>
          </w:p>
        </w:tc>
        <w:tc>
          <w:p>
            <w:r>
              <w:t xml:space="preserve">8,0 %</w:t>
            </w:r>
          </w:p>
        </w:tc>
      </w:tr>
    </w:tbl>
    <w:p>
      <w:r>
        <w:t xml:space="preserve">Nota. Cohorte estricta, horizonte 5 min. La variabilidad de 20× entre Pac 314 (1,6 %) y Pac 175 (32,1 %) es el principal desafío para la definición de un umbral de activación único.</w:t>
      </w:r>
    </w:p>
    <w:p/>
    <w:p>
      <w:r>
        <w:t xml:space="preserve">Tabla 8.5. Estabilidad inter-fold del AUC de LightGBM en LOPO-CV (NB08).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Horizonte</w:t>
            </w:r>
          </w:p>
        </w:tc>
        <w:tc>
          <w:p>
            <w:r>
              <w:rPr>
                <w:b/>
              </w:rPr>
              <w:t xml:space="preserve">AUC medio</w:t>
            </w:r>
          </w:p>
        </w:tc>
        <w:tc>
          <w:p>
            <w:r>
              <w:rPr>
                <w:b/>
              </w:rPr>
              <w:t xml:space="preserve">Desv. estándar (±)</w:t>
            </w:r>
          </w:p>
        </w:tc>
        <w:tc>
          <w:p>
            <w:r>
              <w:rPr>
                <w:b/>
              </w:rPr>
              <w:t xml:space="preserve">Rango observado</w:t>
            </w:r>
          </w:p>
        </w:tc>
      </w:tr>
      <w:tr>
        <w:tc>
          <w:p>
            <w:r>
              <w:t xml:space="preserve">2 min</w:t>
            </w:r>
          </w:p>
        </w:tc>
        <w:tc>
          <w:p>
            <w:r>
              <w:t xml:space="preserve">0,838</w:t>
            </w:r>
          </w:p>
        </w:tc>
        <w:tc>
          <w:p>
            <w:r>
              <w:t xml:space="preserve">± 0,022</w:t>
            </w:r>
          </w:p>
        </w:tc>
        <w:tc>
          <w:p>
            <w:r>
              <w:t xml:space="preserve">0,80 – 0,87</w:t>
            </w:r>
          </w:p>
        </w:tc>
      </w:tr>
      <w:tr>
        <w:tc>
          <w:p>
            <w:r>
              <w:t xml:space="preserve">5 min</w:t>
            </w:r>
          </w:p>
        </w:tc>
        <w:tc>
          <w:p>
            <w:r>
              <w:t xml:space="preserve">0,821</w:t>
            </w:r>
          </w:p>
        </w:tc>
        <w:tc>
          <w:p>
            <w:r>
              <w:t xml:space="preserve">± 0,022</w:t>
            </w:r>
          </w:p>
        </w:tc>
        <w:tc>
          <w:p>
            <w:r>
              <w:t xml:space="preserve">0,79 – 0,86</w:t>
            </w:r>
          </w:p>
        </w:tc>
      </w:tr>
      <w:tr>
        <w:tc>
          <w:p>
            <w:r>
              <w:t xml:space="preserve">10 min</w:t>
            </w:r>
          </w:p>
        </w:tc>
        <w:tc>
          <w:p>
            <w:r>
              <w:t xml:space="preserve">0,785</w:t>
            </w:r>
          </w:p>
        </w:tc>
        <w:tc>
          <w:p>
            <w:r>
              <w:t xml:space="preserve">± 0,029</w:t>
            </w:r>
          </w:p>
        </w:tc>
        <w:tc>
          <w:p>
            <w:r>
              <w:t xml:space="preserve">0,75 – 0,85</w:t>
            </w:r>
          </w:p>
        </w:tc>
      </w:tr>
      <w:tr>
        <w:tc>
          <w:p>
            <w:r>
              <w:t xml:space="preserve">15 min</w:t>
            </w:r>
          </w:p>
        </w:tc>
        <w:tc>
          <w:p>
            <w:r>
              <w:t xml:space="preserve">0,765</w:t>
            </w:r>
          </w:p>
        </w:tc>
        <w:tc>
          <w:p>
            <w:r>
              <w:t xml:space="preserve">± 0,032</w:t>
            </w:r>
          </w:p>
        </w:tc>
        <w:tc>
          <w:p>
            <w:r>
              <w:t xml:space="preserve">0,73 – 0,84</w:t>
            </w:r>
          </w:p>
        </w:tc>
      </w:tr>
    </w:tbl>
    <w:p>
      <w:r>
        <w:t xml:space="preserve">Nota. La desviación estándar menor a 3 puntos en todos los horizontes indica que el modelo generaliza de forma consistente entre los 8 folds de validación.</w:t>
      </w:r>
    </w:p>
    <w:p/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r="http://schemas.openxmlformats.org/officeDocument/2006/relationships"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Relationship Id="rId_en" Type="http://schemas.openxmlformats.org/officeDocument/2006/relationships/endnotes" Target="endnotes.xml"/>
<Relationship Id="rId_fn" Type="http://schemas.openxmlformats.org/officeDocument/2006/relationships/footnotes" Target="footnotes.xml"/>
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cap05_fig51.png"/><Relationship Id="rId33" Type="http://schemas.openxmlformats.org/officeDocument/2006/relationships/image" Target="media/cap05_fig55.png"/><Relationship Id="rId34" Type="http://schemas.openxmlformats.org/officeDocument/2006/relationships/image" Target="media/cap08_fig81.png"/><Relationship Id="rId35" Type="http://schemas.openxmlformats.org/officeDocument/2006/relationships/image" Target="media/cap08_fig83.png"/><Relationship Id="rId36" Type="http://schemas.openxmlformats.org/officeDocument/2006/relationships/image" Target="media/cap08_fig8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