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4_paraId="77777777" mc:Ignorable="w14 w15 w16se w16cid w16 w16cex w16sdtdh wp14">
  <w:body>
    <w:p>
      <w:r>
        <w:rPr>
          <w:b/>
        </w:rPr>
        <w:t xml:space="preserve">Cap01 — Introducción</w:t>
      </w:r>
    </w:p>
    <w:p/>
    <w:p>
      <w:r>
        <w:t xml:space="preserve">Tabla 1.8. Técnicas de ciencia de datos y aprendizaje automático aplicadas en el Proyecto PAC.</w:t>
      </w:r>
    </w:p>
    <w:p/>
    <w:tbl>
      <w:tblPr>
        <w:tblStyle w:val="TableGrid"/>
        <w:tblW w:w="9360" w:type="dxa"/>
      </w:tblPr>
      <w:tr>
        <w:tc>
          <w:p>
            <w:r>
              <w:rPr>
                <w:b/>
              </w:rPr>
              <w:t xml:space="preserve">Técnica / Método</w:t>
            </w:r>
          </w:p>
        </w:tc>
        <w:tc>
          <w:p>
            <w:r>
              <w:rPr>
                <w:b/>
              </w:rPr>
              <w:t xml:space="preserve">Rol en el proyecto</w:t>
            </w:r>
          </w:p>
        </w:tc>
        <w:tc>
          <w:p>
            <w:r>
              <w:rPr>
                <w:b/>
              </w:rPr>
              <w:t xml:space="preserve">Categoría</w:t>
            </w:r>
          </w:p>
        </w:tc>
        <w:tc>
          <w:p>
            <w:r>
              <w:rPr>
                <w:b/>
              </w:rPr>
              <w:t xml:space="preserve">Capítulos</w:t>
            </w:r>
          </w:p>
        </w:tc>
      </w:tr>
      <w:tr>
        <w:tc>
          <w:p>
            <w:r>
              <w:t xml:space="preserve">Correlación intraclase</w:t>
            </w:r>
          </w:p>
        </w:tc>
        <w:tc>
          <w:p>
            <w:r>
              <w:t xml:space="preserve">Evaluación de la reproducibilidad noche a noche de las métricas fisiológicas por paciente.</w:t>
            </w:r>
          </w:p>
        </w:tc>
        <w:tc>
          <w:p>
            <w:r>
              <w:t xml:space="preserve">Estadística</w:t>
            </w:r>
          </w:p>
        </w:tc>
        <w:tc>
          <w:p>
            <w:r>
              <w:t xml:space="preserve">Caps. 3 y 4</w:t>
            </w:r>
          </w:p>
        </w:tc>
      </w:tr>
      <w:tr>
        <w:tc>
          <w:p>
            <w:r>
              <w:t xml:space="preserve">Correlación de Spearman</w:t>
            </w:r>
          </w:p>
        </w:tc>
        <w:tc>
          <w:p>
            <w:r>
              <w:t xml:space="preserve">Análisis de asociación entre variables fisiológicas y clínicas. Evaluación de la independencia parcial del ARI respecto de los índices clásicos.</w:t>
            </w:r>
          </w:p>
        </w:tc>
        <w:tc>
          <w:p>
            <w:r>
              <w:t xml:space="preserve">Estadística</w:t>
            </w:r>
          </w:p>
        </w:tc>
        <w:tc>
          <w:p>
            <w:r>
              <w:t xml:space="preserve">Caps. 4 y 5</w:t>
            </w:r>
          </w:p>
        </w:tc>
      </w:tr>
      <w:tr>
        <w:tc>
          <w:p>
            <w:r>
              <w:t xml:space="preserve">Chi-cuadrado y V de Cramér</w:t>
            </w:r>
          </w:p>
        </w:tc>
        <w:tc>
          <w:p>
            <w:r>
              <w:t xml:space="preserve">Cuantificación de la asociación entre estados PAC y morfotipos de eventos en las tres escalas temporales.</w:t>
            </w:r>
          </w:p>
        </w:tc>
        <w:tc>
          <w:p>
            <w:r>
              <w:t xml:space="preserve">Estadística</w:t>
            </w:r>
          </w:p>
        </w:tc>
        <w:tc>
          <w:p>
            <w:r>
              <w:t xml:space="preserve">Cap. 5</w:t>
            </w:r>
          </w:p>
        </w:tc>
      </w:tr>
      <w:tr>
        <w:tc>
          <w:p>
            <w:r>
              <w:t xml:space="preserve">Análisis de calibración</w:t>
            </w:r>
          </w:p>
        </w:tc>
        <w:tc>
          <w:p>
            <w:r>
              <w:t xml:space="preserve">Verificación de la correspondencia entre probabilidades predichas y frecuencia real de eventos. Ajuste del índice de riesgo compuesto.</w:t>
            </w:r>
          </w:p>
        </w:tc>
        <w:tc>
          <w:p>
            <w:r>
              <w:t xml:space="preserve">Estadística</w:t>
            </w:r>
          </w:p>
        </w:tc>
        <w:tc>
          <w:p>
            <w:r>
              <w:t xml:space="preserve">Cap. 6</w:t>
            </w:r>
          </w:p>
        </w:tc>
      </w:tr>
      <w:tr>
        <w:tc>
          <w:p>
            <w:r>
              <w:t xml:space="preserve">Bootstrap e intervalos de confianza</w:t>
            </w:r>
          </w:p>
        </w:tc>
        <w:tc>
          <w:p>
            <w:r>
              <w:t xml:space="preserve">Estimación de la incertidumbre en métricas de riesgo relativo y estabilidad de modelos en muestras pequeñas.</w:t>
            </w:r>
          </w:p>
        </w:tc>
        <w:tc>
          <w:p>
            <w:r>
              <w:t xml:space="preserve">Estadística</w:t>
            </w:r>
          </w:p>
        </w:tc>
        <w:tc>
          <w:p>
            <w:r>
              <w:t xml:space="preserve">Caps. 5 y 6</w:t>
            </w:r>
          </w:p>
        </w:tc>
      </w:tr>
      <w:tr>
        <w:tc>
          <w:p>
            <w:r>
              <w:t xml:space="preserve">Agrupamiento K-Medias</w:t>
            </w:r>
          </w:p>
        </w:tc>
        <w:tc>
          <w:p>
            <w:r>
              <w:t xml:space="preserve">Identificación de morfotipos de EDOs sobre curvas de SpO₂ y construcción de los estados PAC a las tres escalas.</w:t>
            </w:r>
          </w:p>
        </w:tc>
        <w:tc>
          <w:p>
            <w:r>
              <w:t xml:space="preserve">Aprendizaje no supervisado</w:t>
            </w:r>
          </w:p>
        </w:tc>
        <w:tc>
          <w:p>
            <w:r>
              <w:t xml:space="preserve">Caps. 4 y 5</w:t>
            </w:r>
          </w:p>
        </w:tc>
      </w:tr>
      <w:tr>
        <w:tc>
          <w:p>
            <w:r>
              <w:t xml:space="preserve">Análisis de componentes principales</w:t>
            </w:r>
          </w:p>
        </w:tc>
        <w:tc>
          <w:p>
            <w:r>
              <w:t xml:space="preserve">Reducción de dimensionalidad para explorar la estructura de la matriz de variables nocturnas.</w:t>
            </w:r>
          </w:p>
        </w:tc>
        <w:tc>
          <w:p>
            <w:r>
              <w:t xml:space="preserve">Aprendizaje no supervisado</w:t>
            </w:r>
          </w:p>
        </w:tc>
        <w:tc>
          <w:p>
            <w:r>
              <w:t xml:space="preserve">Caps. 4, 5 y 6</w:t>
            </w:r>
          </w:p>
        </w:tc>
      </w:tr>
      <w:tr>
        <w:tc>
          <w:p>
            <w:r>
              <w:t xml:space="preserve">Análisis de silueta</w:t>
            </w:r>
          </w:p>
        </w:tc>
        <w:tc>
          <w:p>
            <w:r>
              <w:t xml:space="preserve">Criterio cuantitativo para la selección del número óptimo de grupos en el fenotipado de eventos.</w:t>
            </w:r>
          </w:p>
        </w:tc>
        <w:tc>
          <w:p>
            <w:r>
              <w:t xml:space="preserve">Aprendizaje no supervisado</w:t>
            </w:r>
          </w:p>
        </w:tc>
        <w:tc>
          <w:p>
            <w:r>
              <w:t xml:space="preserve">Cap. 4</w:t>
            </w:r>
          </w:p>
        </w:tc>
      </w:tr>
      <w:tr>
        <w:tc>
          <w:p>
            <w:r>
              <w:t xml:space="preserve">Agrupamiento de trayectorias nocturnas</w:t>
            </w:r>
          </w:p>
        </w:tc>
        <w:tc>
          <w:p>
            <w:r>
              <w:t xml:space="preserve">Identificación de arquetipos de organización nocturna sobre vectores de variables dinámicas por noche.</w:t>
            </w:r>
          </w:p>
        </w:tc>
        <w:tc>
          <w:p>
            <w:r>
              <w:t xml:space="preserve">Aprendizaje no supervisado</w:t>
            </w:r>
          </w:p>
        </w:tc>
        <w:tc>
          <w:p>
            <w:r>
              <w:t xml:space="preserve">Cap. 5</w:t>
            </w:r>
          </w:p>
        </w:tc>
      </w:tr>
      <w:tr>
        <w:tc>
          <w:p>
            <w:r>
              <w:t xml:space="preserve">Cadenas de Markov discretas</w:t>
            </w:r>
          </w:p>
        </w:tc>
        <w:tc>
          <w:p>
            <w:r>
              <w:t xml:space="preserve">Modelado de probabilidades de transición entre estados PAC. Identificación de atractores y resiliencia post-evento.</w:t>
            </w:r>
          </w:p>
        </w:tc>
        <w:tc>
          <w:p>
            <w:r>
              <w:t xml:space="preserve">Modelos dinámicos</w:t>
            </w:r>
          </w:p>
        </w:tc>
        <w:tc>
          <w:p>
            <w:r>
              <w:t xml:space="preserve">Caps. 5 y 6</w:t>
            </w:r>
          </w:p>
        </w:tc>
      </w:tr>
      <w:tr>
        <w:tc>
          <w:p>
            <w:r>
              <w:t xml:space="preserve">Análisis de acoplamiento temporal</w:t>
            </w:r>
          </w:p>
        </w:tc>
        <w:tc>
          <w:p>
            <w:r>
              <w:t xml:space="preserve">Cuantificación de la fracción de eventos severos en estados PAC patológicos.</w:t>
            </w:r>
          </w:p>
        </w:tc>
        <w:tc>
          <w:p>
            <w:r>
              <w:t xml:space="preserve">Series temporales</w:t>
            </w:r>
          </w:p>
        </w:tc>
        <w:tc>
          <w:p>
            <w:r>
              <w:t xml:space="preserve">Cap. 6</w:t>
            </w:r>
          </w:p>
        </w:tc>
      </w:tr>
      <w:tr>
        <w:tc>
          <w:p>
            <w:r>
              <w:t xml:space="preserve">Predicción sobre ventanas deslizantes</w:t>
            </w:r>
          </w:p>
        </w:tc>
        <w:tc>
          <w:p>
            <w:r>
              <w:t xml:space="preserve">Construcción del dataset de predicción prospectiva (ventanas de 30 s) para NB08.</w:t>
            </w:r>
          </w:p>
        </w:tc>
        <w:tc>
          <w:p>
            <w:r>
              <w:t xml:space="preserve">Series temporales</w:t>
            </w:r>
          </w:p>
        </w:tc>
        <w:tc>
          <w:p>
            <w:r>
              <w:t xml:space="preserve">Cap. 8</w:t>
            </w:r>
          </w:p>
        </w:tc>
      </w:tr>
      <w:tr>
        <w:tc>
          <w:p>
            <w:r>
              <w:t xml:space="preserve">Gradiente potenciado (LightGBM)</w:t>
            </w:r>
          </w:p>
        </w:tc>
        <w:tc>
          <w:p>
            <w:r>
              <w:t xml:space="preserve">Modelo de predicción de severidad del evento individual y predicción prospectiva NB08.</w:t>
            </w:r>
          </w:p>
        </w:tc>
        <w:tc>
          <w:p>
            <w:r>
              <w:t xml:space="preserve">Aprendizaje supervisado</w:t>
            </w:r>
          </w:p>
        </w:tc>
        <w:tc>
          <w:p>
            <w:r>
              <w:t xml:space="preserve">Caps. 6 y 8</w:t>
            </w:r>
          </w:p>
        </w:tc>
      </w:tr>
      <w:tr>
        <w:tc>
          <w:p>
            <w:r>
              <w:t xml:space="preserve">Regresión logística regularizada</w:t>
            </w:r>
          </w:p>
        </w:tc>
        <w:tc>
          <w:p>
            <w:r>
              <w:t xml:space="preserve">Clasificación de riesgo nocturno sobre la matriz de variables de noche.</w:t>
            </w:r>
          </w:p>
        </w:tc>
        <w:tc>
          <w:p>
            <w:r>
              <w:t xml:space="preserve">Aprendizaje supervisado</w:t>
            </w:r>
          </w:p>
        </w:tc>
        <w:tc>
          <w:p>
            <w:r>
              <w:t xml:space="preserve">Cap. 6</w:t>
            </w:r>
          </w:p>
        </w:tc>
      </w:tr>
      <w:tr>
        <w:tc>
          <w:p>
            <w:r>
              <w:t xml:space="preserve">Bosque aleatorio</w:t>
            </w:r>
          </w:p>
        </w:tc>
        <w:tc>
          <w:p>
            <w:r>
              <w:t xml:space="preserve">Modelo de referencia para la clasificación de severidad nocturna.</w:t>
            </w:r>
          </w:p>
        </w:tc>
        <w:tc>
          <w:p>
            <w:r>
              <w:t xml:space="preserve">Aprendizaje supervisado</w:t>
            </w:r>
          </w:p>
        </w:tc>
        <w:tc>
          <w:p>
            <w:r>
              <w:t xml:space="preserve">Cap. 6</w:t>
            </w:r>
          </w:p>
        </w:tc>
      </w:tr>
      <w:tr>
        <w:tc>
          <w:p>
            <w:r>
              <w:t xml:space="preserve">Validación cruzada LOPO</w:t>
            </w:r>
          </w:p>
        </w:tc>
        <w:tc>
          <w:p>
            <w:r>
              <w:t xml:space="preserve">Esquema de validación estricta que deja un paciente fuera en cada fold.</w:t>
            </w:r>
          </w:p>
        </w:tc>
        <w:tc>
          <w:p>
            <w:r>
              <w:t xml:space="preserve">Evaluación de modelos</w:t>
            </w:r>
          </w:p>
        </w:tc>
        <w:tc>
          <w:p>
            <w:r>
              <w:t xml:space="preserve">Caps. 6 y 8</w:t>
            </w:r>
          </w:p>
        </w:tc>
      </w:tr>
      <w:tr>
        <w:tc>
          <w:p>
            <w:r>
              <w:t xml:space="preserve">Análisis ROC y precisión-exhaustividad</w:t>
            </w:r>
          </w:p>
        </w:tc>
        <w:tc>
          <w:p>
            <w:r>
              <w:t xml:space="preserve">Evaluación del poder discriminativo y definición de umbrales operacionales.</w:t>
            </w:r>
          </w:p>
        </w:tc>
        <w:tc>
          <w:p>
            <w:r>
              <w:t xml:space="preserve">Evaluación de modelos</w:t>
            </w:r>
          </w:p>
        </w:tc>
        <w:tc>
          <w:p>
            <w:r>
              <w:t xml:space="preserve">Caps. 6 y 8</w:t>
            </w:r>
          </w:p>
        </w:tc>
      </w:tr>
      <w:tr>
        <w:tc>
          <w:p>
            <w:r>
              <w:t xml:space="preserve">Valores de Shapley (SHAP)</w:t>
            </w:r>
          </w:p>
        </w:tc>
        <w:tc>
          <w:p>
            <w:r>
              <w:t xml:space="preserve">Análisis de interpretabilidad del clasificador de riesgo nocturno.</w:t>
            </w:r>
          </w:p>
        </w:tc>
        <w:tc>
          <w:p>
            <w:r>
              <w:t xml:space="preserve">Interpretabilidad</w:t>
            </w:r>
          </w:p>
        </w:tc>
        <w:tc>
          <w:p>
            <w:r>
              <w:t xml:space="preserve">Cap. 6</w:t>
            </w:r>
          </w:p>
        </w:tc>
      </w:tr>
      <w:tr>
        <w:tc>
          <w:p>
            <w:r>
              <w:t xml:space="preserve">Estudio de ablación</w:t>
            </w:r>
          </w:p>
        </w:tc>
        <w:tc>
          <w:p>
            <w:r>
              <w:t xml:space="preserve">Evaluación del aporte incremental de cada bloque de features al modelo.</w:t>
            </w:r>
          </w:p>
        </w:tc>
        <w:tc>
          <w:p>
            <w:r>
              <w:t xml:space="preserve">Evaluación de modelos</w:t>
            </w:r>
          </w:p>
        </w:tc>
        <w:tc>
          <w:p>
            <w:r>
              <w:t xml:space="preserve">Cap. 6</w:t>
            </w:r>
          </w:p>
        </w:tc>
      </w:tr>
      <w:tr>
        <w:tc>
          <w:p>
            <w:r>
              <w:t xml:space="preserve">Índice de riesgo compuesto</w:t>
            </w:r>
          </w:p>
        </w:tc>
        <w:tc>
          <w:p>
            <w:r>
              <w:t xml:space="preserve">Síntesis de predicciones de evento y noche en índice integrado (Risk Score PAC).</w:t>
            </w:r>
          </w:p>
        </w:tc>
        <w:tc>
          <w:p>
            <w:r>
              <w:t xml:space="preserve">Síntesis predictiva</w:t>
            </w:r>
          </w:p>
        </w:tc>
        <w:tc>
          <w:p>
            <w:r>
              <w:t xml:space="preserve">Cap. 6</w:t>
            </w:r>
          </w:p>
        </w:tc>
      </w:tr>
    </w:tbl>
    <w:p>
      <w:r>
        <w:t xml:space="preserve">Nota. La tabla presenta las 20 técnicas aplicadas a lo largo de la tesis, con su rol, categoría metodológica y capítulos donde se emplean. Esta tabla se presenta como material suplementario a la descripción de §1.8.</w:t>
      </w:r>
    </w:p>
    <w:p/>
    <w:p>
      <w:r>
        <w:rPr>
          <w:b/>
        </w:rPr>
        <w:t xml:space="preserve">Cap04 — Fenotipado Morfológico y Reactividad Autonómica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4.3. Perfiles de frecuencia cardíaca (FC, fila A) y movimiento (MOV, fila B) por morfotipo C1–C5.</w:t>
      </w:r>
    </w:p>
    <w:p>
      <w:r>
        <w:t xml:space="preserve">Nota. Eje X: tiempo normalizado del evento (0–100 %). Fila A — FC (lpm): media ± IQR; Δ indica el incremento máximo respecto al valor al inicio del evento. Fila B — MOV (u.a.): media ± IQR; peak indica la amplitud máxima. Los morfotipos C3 y C4 muestran los picos de FC y MOV más pronunciados; C5 presenta los Δ más bajos pese a ser el morfotipo más severo morfológicamente.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4.5. Análisis within-stratum del ARI: diferencias entre ARI-alto y ARI-bajo dentro de cada estrato de severidad ODI3.</w:t>
      </w:r>
    </w:p>
    <w:p>
      <w:r>
        <w:t xml:space="preserve">Nota. Estratos ODI3: Leve (&lt; 5 ev/h), Moderado (5–15 ev/h), Grave (15–30 ev/h), Muy grave (&gt; 30 ev/h). (a) HR gain mediana (lpm/pp) para ARI-alto vs ARI-bajo: diferencia significativa en todos los estratos (*** p &lt; 0,001). (b) Fracción de morfotipos severos C4+C5 por grupo ARI: diferencia significativa en Moderado y Muy grave. (c) T90 (fracción de tiempo con SpO₂ &lt; 90 %) por grupo ARI: diferencia significativa en Leve, Moderado y Muy grave. ns: no significativo. Análisis realizado con prueba de Mann-Whitney U con corrección de Bonferroni.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4.6. Estabilización del ODI3 con el número de noches promediadas (simulación bootstrap, cohorte estricta, 8 pacientes).</w:t>
      </w:r>
    </w:p>
    <w:p>
      <w:r>
        <w:t xml:space="preserve">Nota. Cohorte estricta: 8 pacientes con ≥ 10 noches in_quality. (A) Error absoluto medio (MAE, ev/h) del ODI3 vs número de noches promediadas; banda sombreada: IQR bootstrap (300 iteraciones). Línea punteada roja: umbral operacional MAE = 2 ev/h, alcanzado aproximadamente a partir de 4 noches. (B) ICC(1,1) vs número de noches; los valores crecen desde 0,70 (1 noche) hasta 0,98 (14 noches).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4.7. Validación multi-noche del ARI: MAE bootstrap y análisis de concordancia Bland-Altman.</w:t>
      </w:r>
    </w:p>
    <w:p>
      <w:r>
        <w:t xml:space="preserve">Nota. (A) MAE bootstrap (IC 95 %) del ARI paciente-nivel vs número de noches promediadas; umbral operacional ARI = 0,05 indicado con línea punteada. El MAE desciende por debajo de 0,01 desde las primeras noches. (B) Análisis de Bland-Altman: diferencia entre ARI de 1 noche y media multi-noche versus promedio de ambas; sesgo = 0,001 (línea roja), límites de acuerdo (LoA) ± 0,097 (líneas punteadas naranjas). La variabilidad residual es homogénea en todo el rango del ARI.</w:t>
      </w:r>
    </w:p>
    <w:p/>
    <w:p>
      <w:r>
        <w:t xml:space="preserve">Tabla 4.3. Correspondencia entre morfotipos escalares (α–κ, K = 10) y morfotipos de curva (C1–C5).</w:t>
      </w:r>
    </w:p>
    <w:p/>
    <w:tbl>
      <w:tblPr>
        <w:tblStyle w:val="TableGrid"/>
        <w:tblW w:w="9360" w:type="dxa"/>
      </w:tblPr>
      <w:tr>
        <w:tc>
          <w:p>
            <w:r>
              <w:rPr>
                <w:b/>
              </w:rPr>
              <w:t xml:space="preserve">Morfotipo escalar</w:t>
            </w:r>
          </w:p>
        </w:tc>
        <w:tc>
          <w:p>
            <w:r>
              <w:rPr>
                <w:b/>
              </w:rPr>
              <w:t xml:space="preserve">N eventos</w:t>
            </w:r>
          </w:p>
        </w:tc>
        <w:tc>
          <w:p>
            <w:r>
              <w:rPr>
                <w:b/>
              </w:rPr>
              <w:t xml:space="preserve">C4+C5 (%)</w:t>
            </w:r>
          </w:p>
        </w:tc>
        <w:tc>
          <w:p>
            <w:r>
              <w:rPr>
                <w:b/>
              </w:rPr>
              <w:t xml:space="preserve">Alineación principal</w:t>
            </w:r>
          </w:p>
        </w:tc>
        <w:tc>
          <w:p>
            <w:r>
              <w:rPr>
                <w:b/>
              </w:rPr>
              <w:t xml:space="preserve">Perfil</w:t>
            </w:r>
          </w:p>
        </w:tc>
      </w:tr>
      <w:tr>
        <w:tc>
          <w:p>
            <w:r>
              <w:t xml:space="preserve">β</w:t>
            </w:r>
          </w:p>
        </w:tc>
        <w:tc>
          <w:p>
            <w:r>
              <w:t xml:space="preserve">51.801</w:t>
            </w:r>
          </w:p>
        </w:tc>
        <w:tc>
          <w:p>
            <w:r>
              <w:t xml:space="preserve">0,0 %</w:t>
            </w:r>
          </w:p>
        </w:tc>
        <w:tc>
          <w:p>
            <w:r>
              <w:t xml:space="preserve">→ C1 (87,4 %)</w:t>
            </w:r>
          </w:p>
        </w:tc>
        <w:tc>
          <w:p>
            <w:r>
              <w:t xml:space="preserve">Dominante subcrítico — 60,8 % del corpus</w:t>
            </w:r>
          </w:p>
        </w:tc>
      </w:tr>
      <w:tr>
        <w:tc>
          <w:p>
            <w:r>
              <w:t xml:space="preserve">γ</w:t>
            </w:r>
          </w:p>
        </w:tc>
        <w:tc>
          <w:p>
            <w:r>
              <w:t xml:space="preserve">8.590</w:t>
            </w:r>
          </w:p>
        </w:tc>
        <w:tc>
          <w:p>
            <w:r>
              <w:t xml:space="preserve">1,0 %</w:t>
            </w:r>
          </w:p>
        </w:tc>
        <w:tc>
          <w:p>
            <w:r>
              <w:t xml:space="preserve">→ C1 (61,7 %), C2 (34,8 %)</w:t>
            </w:r>
          </w:p>
        </w:tc>
        <w:tc>
          <w:p>
            <w:r>
              <w:t xml:space="preserve">C1/C2 mixto — baja carga hipóxica</w:t>
            </w:r>
          </w:p>
        </w:tc>
      </w:tr>
      <w:tr>
        <w:tc>
          <w:p>
            <w:r>
              <w:t xml:space="preserve">η</w:t>
            </w:r>
          </w:p>
        </w:tc>
        <w:tc>
          <w:p>
            <w:r>
              <w:t xml:space="preserve">7.286</w:t>
            </w:r>
          </w:p>
        </w:tc>
        <w:tc>
          <w:p>
            <w:r>
              <w:t xml:space="preserve">1,2 %</w:t>
            </w:r>
          </w:p>
        </w:tc>
        <w:tc>
          <w:p>
            <w:r>
              <w:t xml:space="preserve">→ C2 (58,6 %), C1 (35,6 %)</w:t>
            </w:r>
          </w:p>
        </w:tc>
        <w:tc>
          <w:p>
            <w:r>
              <w:t xml:space="preserve">Leve-moderado con buena recuperación</w:t>
            </w:r>
          </w:p>
        </w:tc>
      </w:tr>
      <w:tr>
        <w:tc>
          <w:p>
            <w:r>
              <w:t xml:space="preserve">κ</w:t>
            </w:r>
          </w:p>
        </w:tc>
        <w:tc>
          <w:p>
            <w:r>
              <w:t xml:space="preserve">6.739</w:t>
            </w:r>
          </w:p>
        </w:tc>
        <w:tc>
          <w:p>
            <w:r>
              <w:t xml:space="preserve">17,1 %</w:t>
            </w:r>
          </w:p>
        </w:tc>
        <w:tc>
          <w:p>
            <w:r>
              <w:t xml:space="preserve">→ C2 (60,1 %), C4 (17,0 %)</w:t>
            </w:r>
          </w:p>
        </w:tc>
        <w:tc>
          <w:p>
            <w:r>
              <w:t xml:space="preserve">C2 dominante con fracción severa moderada</w:t>
            </w:r>
          </w:p>
        </w:tc>
      </w:tr>
      <w:tr>
        <w:tc>
          <w:p>
            <w:r>
              <w:t xml:space="preserve">α</w:t>
            </w:r>
          </w:p>
        </w:tc>
        <w:tc>
          <w:p>
            <w:r>
              <w:t xml:space="preserve">4.675</w:t>
            </w:r>
          </w:p>
        </w:tc>
        <w:tc>
          <w:p>
            <w:r>
              <w:t xml:space="preserve">29,1 %</w:t>
            </w:r>
          </w:p>
        </w:tc>
        <w:tc>
          <w:p>
            <w:r>
              <w:t xml:space="preserve">→ C2 (37,1 %), C3 (30,1 %), C4 (28,0 %)</w:t>
            </w:r>
          </w:p>
        </w:tc>
        <w:tc>
          <w:p>
            <w:r>
              <w:t xml:space="preserve">Mixto severo-moderado; fronteras difusas entre C2/C3/C4</w:t>
            </w:r>
          </w:p>
        </w:tc>
      </w:tr>
      <w:tr>
        <w:tc>
          <w:p>
            <w:r>
              <w:t xml:space="preserve">ζ</w:t>
            </w:r>
          </w:p>
        </w:tc>
        <w:tc>
          <w:p>
            <w:r>
              <w:t xml:space="preserve">3.698</w:t>
            </w:r>
          </w:p>
        </w:tc>
        <w:tc>
          <w:p>
            <w:r>
              <w:t xml:space="preserve">24,0 %</w:t>
            </w:r>
          </w:p>
        </w:tc>
        <w:tc>
          <w:p>
            <w:r>
              <w:t xml:space="preserve">→ C2 (46,4 %), C4 (23,1 %), C3 (21,1 %)</w:t>
            </w:r>
          </w:p>
        </w:tc>
        <w:tc>
          <w:p>
            <w:r>
              <w:t xml:space="preserve">Mixto moderado-severo; contribución severa relevante</w:t>
            </w:r>
          </w:p>
        </w:tc>
      </w:tr>
      <w:tr>
        <w:tc>
          <w:p>
            <w:r>
              <w:t xml:space="preserve">ε</w:t>
            </w:r>
          </w:p>
        </w:tc>
        <w:tc>
          <w:p>
            <w:r>
              <w:t xml:space="preserve">548</w:t>
            </w:r>
          </w:p>
        </w:tc>
        <w:tc>
          <w:p>
            <w:r>
              <w:t xml:space="preserve">20,6 %</w:t>
            </w:r>
          </w:p>
        </w:tc>
        <w:tc>
          <w:p>
            <w:r>
              <w:t xml:space="preserve">→ C3 (68,2 %)</w:t>
            </w:r>
          </w:p>
        </w:tc>
        <w:tc>
          <w:p>
            <w:r>
              <w:t xml:space="preserve">Predominio C3 — severo agudo</w:t>
            </w:r>
          </w:p>
        </w:tc>
      </w:tr>
      <w:tr>
        <w:tc>
          <w:p>
            <w:r>
              <w:t xml:space="preserve">ι</w:t>
            </w:r>
          </w:p>
        </w:tc>
        <w:tc>
          <w:p>
            <w:r>
              <w:t xml:space="preserve">201</w:t>
            </w:r>
          </w:p>
        </w:tc>
        <w:tc>
          <w:p>
            <w:r>
              <w:t xml:space="preserve">68,2 %</w:t>
            </w:r>
          </w:p>
        </w:tc>
        <w:tc>
          <w:p>
            <w:r>
              <w:t xml:space="preserve">→ C4 (48,3 %), C5 (19,9 %)</w:t>
            </w:r>
          </w:p>
        </w:tc>
        <w:tc>
          <w:p>
            <w:r>
              <w:t xml:space="preserve">Severo C4/C5 — alta tasa de eventos críticos</w:t>
            </w:r>
          </w:p>
        </w:tc>
      </w:tr>
      <w:tr>
        <w:tc>
          <w:p>
            <w:r>
              <w:t xml:space="preserve">θ</w:t>
            </w:r>
          </w:p>
        </w:tc>
        <w:tc>
          <w:p>
            <w:r>
              <w:t xml:space="preserve">1.597</w:t>
            </w:r>
          </w:p>
        </w:tc>
        <w:tc>
          <w:p>
            <w:r>
              <w:t xml:space="preserve">71,1 %</w:t>
            </w:r>
          </w:p>
        </w:tc>
        <w:tc>
          <w:p>
            <w:r>
              <w:t xml:space="preserve">→ C4 (39,7 %), C5 (31,4 %), C3 (25,8 %)</w:t>
            </w:r>
          </w:p>
        </w:tc>
        <w:tc>
          <w:p>
            <w:r>
              <w:t xml:space="preserve">Severo mixto C4/C5 — segundo concentrador de morfotipos severos</w:t>
            </w:r>
          </w:p>
        </w:tc>
      </w:tr>
      <w:tr>
        <w:tc>
          <w:p>
            <w:r>
              <w:t xml:space="preserve">δ</w:t>
            </w:r>
          </w:p>
        </w:tc>
        <w:tc>
          <w:p>
            <w:r>
              <w:t xml:space="preserve">151</w:t>
            </w:r>
          </w:p>
        </w:tc>
        <w:tc>
          <w:p>
            <w:r>
              <w:t xml:space="preserve">94,7 %</w:t>
            </w:r>
          </w:p>
        </w:tc>
        <w:tc>
          <w:p>
            <w:r>
              <w:t xml:space="preserve">→ C5 (82,5 %), C4 (17,5 %)</w:t>
            </w:r>
          </w:p>
        </w:tc>
        <w:tc>
          <w:p>
            <w:r>
              <w:t xml:space="preserve">Concentrador máximo de C5 — morfotipo de mayor pureza severa</w:t>
            </w:r>
          </w:p>
        </w:tc>
      </w:tr>
    </w:tbl>
    <w:p>
      <w:r>
        <w:t xml:space="preserve">Nota. Datos verificados sobre gold/events.parquet (N = 85.286 EDOs). C4+C5 (%): fracción de eventos del morfotipo escalar que se alinean con morfotipos severos de curva. Alineación principal: morfotipo(s) de curva con mayor frecuencia dentro del morfotipo escalar. Los morfotipos escalares δ y θ concentran la mayor pureza de morfotipos severos C4/C5.</w:t>
      </w:r>
    </w:p>
    <w:p/>
    <w:p>
      <w:pPr>
        <w:spacing w:after="200"/>
      </w:pPr>
      <w:r>
        <w:rPr>
          <w:b/>
          <w:bCs/>
          <w:color w:val="1E3A5F"/>
          <w:sz w:val="36"/>
          <w:szCs w:val="36"/>
        </w:rPr>
        <w:t>Anexo de Material Suplementario</w:t>
      </w:r>
    </w:p>
    <w:p>
      <w:pPr>
        <w:spacing w:after="140" w:line="280" w:lineRule="auto"/>
        <w:jc w:val="both"/>
      </w:pPr>
      <w:r>
        <w:rPr>
          <w:sz w:val="20"/>
          <w:szCs w:val="20"/>
        </w:rPr>
        <w:t xml:space="preserve">Este anexo reúne figuras y tablas trasladadas del cuerpo principal para reducir la extensión del texto. El material está organizado por capítulo. Se conservan captions, notas y numeración originales para facilitar las referencias cruzadas.</w:t>
      </w:r>
    </w:p>
    <w:p>
      <w:pPr>
        <w:spacing w:after="280"/>
      </w:pPr>
      <w:r>
        <w:t/>
      </w:r>
    </w:p>
    <w:p w14:paraId="50750B03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2D17663" wp14:editId="08B77A67">
            <wp:extent cx="5238750" cy="1447800"/>
            <wp:effectExtent l="0" t="0" r="0" b="0"/>
            <wp:docPr id="1" name="Arco narrativo de la tesis — Cap06 como nodo de síntesis" descr="Arco narrativo de la tesis — Cap06 como nodo de síntesis" title="Arco narrativo de la tesis — Cap06 como nodo de sínt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Cap05 — PAC States y Caracterización Multiescala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5.1. Estabilidad del ARI nocturno por paciente a lo largo de las noches monitoreadas. Cada panel corresponde a un paciente.</w:t>
      </w:r>
    </w:p>
    <w:p>
      <w:r>
        <w:t xml:space="preserve">Nota. Origen: NB03. Solo se muestran noches quality (n = 553). El orden es cronológico por fecha de registro. Las líneas horizontales indican la media del ARI nocturno del paciente; las barras de error, el IQR noche a noche.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5.5. PCA multiescala y fenotipos nocturnos (K = 3). Proyección de 560 noches quality en el plano PC1–PC2.</w:t>
      </w:r>
    </w:p>
    <w:p>
      <w:r>
        <w:t xml:space="preserve">Nota. Origen: NB04. PC1 explica el 29,2 % de la varianza (loadings dominantes: frac_s_S2, frac_s_S1, frac_m_M0); PC2 el 12,1 %. Los tres clusters se superponen parcialmente en el espacio PC1–PC2: la separación es más clara en dimensiones superiores. Colores: cluster 1 = baja severidad, cluster 2 = severidad moderada, cluster 3 = carga hipóxica alta.</w:t>
      </w:r>
    </w:p>
    <w:p/>
    <w:p>
      <w:r>
        <w:t xml:space="preserve">Tabla 5.4. Matriz síntesis: estado PAC clave por dimensión fisiológica y escala temporal.</w:t>
      </w:r>
    </w:p>
    <w:p/>
    <w:tbl>
      <w:tblPr>
        <w:tblStyle w:val="TableGrid"/>
        <w:tblW w:w="9360" w:type="dxa"/>
      </w:tblPr>
      <w:tr>
        <w:tc>
          <w:p>
            <w:r>
              <w:rPr>
                <w:b/>
              </w:rPr>
              <w:t xml:space="preserve">Escala</w:t>
            </w:r>
          </w:p>
        </w:tc>
        <w:tc>
          <w:p>
            <w:r>
              <w:rPr>
                <w:b/>
              </w:rPr>
              <w:t xml:space="preserve">Estado clave</w:t>
            </w:r>
          </w:p>
        </w:tc>
        <w:tc>
          <w:p>
            <w:r>
              <w:rPr>
                <w:b/>
              </w:rPr>
              <w:t xml:space="preserve">Dimensión fisiológica</w:t>
            </w:r>
          </w:p>
        </w:tc>
        <w:tc>
          <w:p>
            <w:r>
              <w:rPr>
                <w:b/>
              </w:rPr>
              <w:t xml:space="preserve">Mejor ρ Spearman</w:t>
            </w:r>
          </w:p>
        </w:tc>
      </w:tr>
      <w:tr>
        <w:tc>
          <w:p>
            <w:r>
              <w:t xml:space="preserve">S — 30 s</w:t>
            </w:r>
          </w:p>
        </w:tc>
        <w:tc>
          <w:p>
            <w:r>
              <w:t xml:space="preserve">S4</w:t>
            </w:r>
          </w:p>
        </w:tc>
        <w:tc>
          <w:p>
            <w:r>
              <w:t xml:space="preserve">Frecuencia de eventos (AHI / ODI)</w:t>
            </w:r>
          </w:p>
        </w:tc>
        <w:tc>
          <w:p>
            <w:r>
              <w:t xml:space="preserve">+0,691  (AHI3)</w:t>
            </w:r>
          </w:p>
        </w:tc>
      </w:tr>
      <w:tr>
        <w:tc>
          <w:p>
            <w:r>
              <w:t xml:space="preserve">S — 30 s</w:t>
            </w:r>
          </w:p>
        </w:tc>
        <w:tc>
          <w:p>
            <w:r>
              <w:t xml:space="preserve">S5</w:t>
            </w:r>
          </w:p>
        </w:tc>
        <w:tc>
          <w:p>
            <w:r>
              <w:t xml:space="preserve">Reactividad autonómica (ARI)</w:t>
            </w:r>
          </w:p>
        </w:tc>
        <w:tc>
          <w:p>
            <w:r>
              <w:t xml:space="preserve">+0,637  (ARI media)</w:t>
            </w:r>
          </w:p>
        </w:tc>
      </w:tr>
      <w:tr>
        <w:tc>
          <w:p>
            <w:r>
              <w:t xml:space="preserve">M — 5 min</w:t>
            </w:r>
          </w:p>
        </w:tc>
        <w:tc>
          <w:p>
            <w:r>
              <w:t xml:space="preserve">M1</w:t>
            </w:r>
          </w:p>
        </w:tc>
        <w:tc>
          <w:p>
            <w:r>
              <w:t xml:space="preserve">Carga hipóxica acumulada (T90, HB3)</w:t>
            </w:r>
          </w:p>
        </w:tc>
        <w:tc>
          <w:p>
            <w:r>
              <w:t xml:space="preserve">+0,744  (T90)</w:t>
            </w:r>
          </w:p>
        </w:tc>
      </w:tr>
      <w:tr>
        <w:tc>
          <w:p>
            <w:r>
              <w:t xml:space="preserve">L — 30 min</w:t>
            </w:r>
          </w:p>
        </w:tc>
        <w:tc>
          <w:p>
            <w:r>
              <w:t xml:space="preserve">L0</w:t>
            </w:r>
          </w:p>
        </w:tc>
        <w:tc>
          <w:p>
            <w:r>
              <w:t xml:space="preserve">Arquitectura hipóxica global (T90)</w:t>
            </w:r>
          </w:p>
        </w:tc>
        <w:tc>
          <w:p>
            <w:r>
              <w:t xml:space="preserve">+0,705  (T90 min)</w:t>
            </w:r>
          </w:p>
        </w:tc>
      </w:tr>
    </w:tbl>
    <w:p>
      <w:r>
        <w:t xml:space="preserve">Nota. Correlaciones de Spearman sobre n = 560 noches, cohorte completa (NB04). S4 y S5 pertenecen a la misma escala (S, 30 s) pero capturan dimensiones fisiológicas distintas. Esta tabla se presenta como material suplementario a la Tabla 5.3, que resume el mismo resultado en formato expandido.</w:t>
      </w:r>
    </w:p>
    <w:p/>
    <w:p w14:paraId="3534415D" w14:textId="77777777" w:rsidR="0087342B" w:rsidRDefault="00000000">
      <w:pPr>
        <w:spacing w:before="80" w:after="200"/>
      </w:pPr>
      <w:r>
        <w:rPr>
          <w:b/>
          <w:bCs/>
          <w:color w:val="444444"/>
          <w:sz w:val="18"/>
          <w:szCs w:val="18"/>
        </w:rPr>
        <w:t xml:space="preserve">Figura 6.0. </w:t>
      </w:r>
      <w:r>
        <w:rPr>
          <w:color w:val="444444"/>
          <w:sz w:val="18"/>
          <w:szCs w:val="18"/>
        </w:rPr>
        <w:t>Posición de este capítulo en el arco narrativo de la tesis. Cap04 y Cap05 construyeron las representaciones (morfotipos C1–C5 y PAC States S/M/L); Cap06 las integra para cuantificar el acoplamiento entre contexto fisiológico dinámico y severidad de evento, construir los modelos predictivos e integrarlos en el Risk Score PAC. Los capítulos siguientes traducen esa predicción en herramienta clínica (Cap07) y la extienden al dominio prospectivo con habilitación del estimulador terapéutico (Cap08).</w:t>
      </w:r>
    </w:p>
    <w:p>
      <w:pPr>
        <w:spacing w:after="200"/>
      </w:pPr>
      <w:r>
        <w:t/>
      </w:r>
    </w:p>
    <w:p>
      <w:pPr>
        <w:spacing w:after="200"/>
      </w:pPr>
      <w:r>
        <w:t/>
      </w:r>
    </w:p>
    <w:p w14:paraId="4B6B5FBA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B20CC1D" wp14:editId="5443284F">
            <wp:extent cx="5238750" cy="1714500"/>
            <wp:effectExtent l="0" t="0" r="0" b="0"/>
            <wp:docPr id="1899303327" name="Distribucion condicional morfotipo estado PAC" descr="Distribucion condicional morfotipo estado PAC" title="Distribucion condicional morfotipo estado P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4A45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6.1. </w:t>
      </w:r>
      <w:r>
        <w:rPr>
          <w:i/>
          <w:iCs/>
          <w:sz w:val="20"/>
          <w:szCs w:val="20"/>
        </w:rPr>
        <w:t>Distribución condicional P(morfotipo | estado PAC) en las tres escalas. Los estados patológicos (S6, M1, L0) concentran una proporción marcadamente superior de morfotipos C4 o C5. V de Cramér: S = 0,355; M = 0,229; L = 0,194.</w:t>
      </w:r>
    </w:p>
    <w:p w14:paraId="63E221E4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2. n = 83.892 eventos, cohorte in_strict (12 pacientes).</w:t>
      </w:r>
    </w:p>
    <w:p>
      <w:pPr>
        <w:spacing w:after="200"/>
      </w:pPr>
      <w:r>
        <w:t/>
      </w:r>
    </w:p>
    <w:p w14:paraId="753B0629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F6E4C3F" wp14:editId="356FD5CB">
            <wp:extent cx="5238750" cy="1533525"/>
            <wp:effectExtent l="0" t="0" r="0" b="0"/>
            <wp:docPr id="926487157" name="Riesgo relativo por estado PAC multiscala" descr="Riesgo relativo por estado PAC multiscala" title="Riesgo relativo por estado PAC multisc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4708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lastRenderedPageBreak/>
        <w:t xml:space="preserve">Figura 6.2. </w:t>
      </w:r>
      <w:r>
        <w:rPr>
          <w:i/>
          <w:iCs/>
          <w:sz w:val="20"/>
          <w:szCs w:val="20"/>
        </w:rPr>
        <w:t>Riesgo relativo (RR) de evento severo por estado PAC en las tres escalas. Los estados patológicos S6, M1 y L0 presentan los RR más elevados. La magnitud del RR decrece con la escala temporal de forma consistente con la disminución de V de Cramér.</w:t>
      </w:r>
    </w:p>
    <w:p w14:paraId="5F79EC93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2. P(severo) marginal = 5,97 %. n = 83.892 eventos, 12 pacientes.</w:t>
      </w:r>
    </w:p>
    <w:p>
      <w:pPr>
        <w:spacing w:after="200"/>
      </w:pPr>
      <w:r>
        <w:t/>
      </w:r>
    </w:p>
    <w:p w14:paraId="6375A82E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E699C79" wp14:editId="54A48B9F">
            <wp:extent cx="5238750" cy="2819400"/>
            <wp:effectExtent l="0" t="0" r="0" b="0"/>
            <wp:docPr id="1967231547" name="Diagrama conceptual acoplamiento morfotipo–estado PAC" descr="Diagrama conceptual acoplamiento morfotipo–estado PAC" title="Diagrama conceptual acoplamiento morfotipo–estado P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D251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6.2c. </w:t>
      </w:r>
      <w:r>
        <w:rPr>
          <w:i/>
          <w:iCs/>
          <w:sz w:val="20"/>
          <w:szCs w:val="20"/>
        </w:rPr>
        <w:t>Acoplamiento morfotipo–estado PAC (escala M). El estado fisiológico activo en los 5 minutos previos al evento predice la morfología de la caída de SpO₂: P(severo | M0) &lt; 2 %; P(severo | M1) = 38,6 %. V de Cramér = 0,230 (NB05, escala M).</w:t>
      </w:r>
    </w:p>
    <w:p w14:paraId="2DAE2C97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Valores de probabilidad representativos del modelo LightGBM (NB07 Bloque B, LOPO-CV). Origen: NB05 §2.</w:t>
      </w:r>
    </w:p>
    <w:p>
      <w:pPr>
        <w:spacing w:after="200"/>
      </w:pPr>
      <w:r>
        <w:t/>
      </w:r>
    </w:p>
    <w:p w14:paraId="30C4EF61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78D3F68" wp14:editId="10C66129">
            <wp:extent cx="5238750" cy="1628775"/>
            <wp:effectExtent l="0" t="0" r="0" b="0"/>
            <wp:docPr id="1388138434" name="Coupling index multiscala por paciente y noche" descr="Coupling index multiscala por paciente y noche" title="Coupling index multiscala por paciente y no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3AA7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6.3. </w:t>
      </w:r>
      <w:r>
        <w:rPr>
          <w:i/>
          <w:iCs/>
          <w:sz w:val="20"/>
          <w:szCs w:val="20"/>
        </w:rPr>
        <w:t>Coupling index (CI) en las tres escalas temporales. Cada punto representa una noche. La independencia entre ci_s y ci_m (r = 0,066) contrasta con la correlación moderada entre ci_m y ci_l (r = 0,291), confirmando que las tres escalas capturan dimensiones no redundantes del riesgo nocturno.</w:t>
      </w:r>
    </w:p>
    <w:p w14:paraId="0576C70D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3. n = 560 noches, cohorte in_strict (12 pacientes).</w:t>
      </w:r>
    </w:p>
    <w:p>
      <w:pPr>
        <w:spacing w:after="200"/>
      </w:pPr>
      <w:r>
        <w:t/>
      </w:r>
    </w:p>
    <w:p w14:paraId="6AFD1746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77AD80B" wp14:editId="2EBEF118">
            <wp:extent cx="5238750" cy="1628775"/>
            <wp:effectExtent l="0" t="0" r="0" b="0"/>
            <wp:docPr id="1055980836" name="Resiliencia fisiologica post-evento multiscala" descr="Resiliencia fisiologica post-evento multiscala" title="Resiliencia fisiologica post-evento multisc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B592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6.4. </w:t>
      </w:r>
      <w:r>
        <w:rPr>
          <w:i/>
          <w:iCs/>
          <w:sz w:val="20"/>
          <w:szCs w:val="20"/>
        </w:rPr>
        <w:t>Resiliencia fisiológica post-evento en las tres escalas temporales. Las barras comparan la fracción de eventos severos en estado patológico seguidos de retorno protector (resiliente) versus persistencia patológica (colapsado). El gradiente 43,3 % → 12,3 % → 1,3 % ilustra la inercia creciente del sistema hipóxico.</w:t>
      </w:r>
    </w:p>
    <w:p w14:paraId="6DAC4D1F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4. n = 4.602 eventos C4+C5, cohorte in_strict (12 pacientes).</w:t>
      </w:r>
    </w:p>
    <w:p>
      <w:pPr>
        <w:spacing w:after="200"/>
      </w:pPr>
      <w:r>
        <w:t/>
      </w:r>
    </w:p>
    <w:p w14:paraId="12B9065D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58A1659" wp14:editId="3D880D81">
            <wp:extent cx="5238750" cy="2886075"/>
            <wp:effectExtent l="0" t="0" r="0" b="0"/>
            <wp:docPr id="1280973263" name="Diagrama conceptual Coupling Index nocturno" descr="Diagrama conceptual Coupling Index nocturno" title="Diagrama conceptual Coupling Index noctu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D288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6.4c. </w:t>
      </w:r>
      <w:r>
        <w:rPr>
          <w:i/>
          <w:iCs/>
          <w:sz w:val="20"/>
          <w:szCs w:val="20"/>
        </w:rPr>
        <w:t>Coupling Index: dos noches con ODI3 = 14 ev/h y CI opuesto (0,12 vs. 0,75). La distribución de eventos en zonas protectoras (verde) o patológicas (rojo) determina el CI. El ODI3 no distingue estos perfiles; el CI sí. Las tres propiedades del índice se resumen en la parte inferior.</w:t>
      </w:r>
    </w:p>
    <w:p w14:paraId="2EDAA6D1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Valores ilustrativos consistentes con la distribución empírica del corpus (NB05 §3).</w:t>
      </w:r>
    </w:p>
    <w:p>
      <w:pPr>
        <w:spacing w:after="200"/>
      </w:pPr>
      <w:r>
        <w:t/>
      </w:r>
    </w:p>
    <w:p w14:paraId="169B45ED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615109C" wp14:editId="412AE712">
            <wp:extent cx="5238750" cy="1524000"/>
            <wp:effectExtent l="0" t="0" r="0" b="0"/>
            <wp:docPr id="453519139" name="Matrices de transicion Markoviana PAC States tres escalas" descr="Matrices de transicion Markoviana PAC States tres escalas" title="Matrices de transicion Markoviana PAC States tres esca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42F4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6.5. </w:t>
      </w:r>
      <w:r>
        <w:rPr>
          <w:i/>
          <w:iCs/>
          <w:sz w:val="20"/>
          <w:szCs w:val="20"/>
        </w:rPr>
        <w:t xml:space="preserve">Matrices de transición Markoviana de los PAC States en las tres escalas. La intensidad del color representa la probabilidad de transición del estado fila al estado columna. </w:t>
      </w:r>
      <w:r>
        <w:rPr>
          <w:i/>
          <w:iCs/>
          <w:sz w:val="20"/>
          <w:szCs w:val="20"/>
        </w:rPr>
        <w:lastRenderedPageBreak/>
        <w:t>Los atractores del sistema (S1, M0, L3) presentan alta probabilidad de auto-transición. Los estados patológicos (S6, M1, L0) muestran probabilidades de salida reducidas, consistentes con la baja resiliencia observada en §6.5.</w:t>
      </w:r>
    </w:p>
    <w:p w14:paraId="7FD36AC5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5. Transiciones: S = 462.519; M = 45.900; L = 7.196. Cadenas Markov de primer orden, 12 pacientes.</w:t>
      </w:r>
    </w:p>
    <w:p>
      <w:pPr>
        <w:spacing w:after="200"/>
      </w:pPr>
      <w:r>
        <w:t/>
      </w:r>
    </w:p>
    <w:p w14:paraId="0617891D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E33EA0D" wp14:editId="58A6E7BD">
            <wp:extent cx="5238750" cy="2886075"/>
            <wp:effectExtent l="0" t="0" r="0" b="0"/>
            <wp:docPr id="1756183999" name="Diagrama conceptual resiliencia peri-evento por escala temporal" descr="Diagrama conceptual resiliencia peri-evento por escala temporal" title="Diagrama conceptual resiliencia peri-evento por escala tempo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D1C2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6.5c. </w:t>
      </w:r>
      <w:r>
        <w:rPr>
          <w:i/>
          <w:iCs/>
          <w:sz w:val="20"/>
          <w:szCs w:val="20"/>
        </w:rPr>
        <w:t>Dinámica peri-evento y resiliencia fisiológica. Tras un evento severo (C4/C5), la probabilidad de permanecer en estado patológico cae a distintas velocidades: 43,3 % a los 30 s (escala S), 12,3 % a los 5 min (escala M), 1,3 % a los 30 min (escala L). La inercia crece con la escala temporal.</w:t>
      </w:r>
    </w:p>
    <w:p w14:paraId="57C2F078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Porcentajes calculados sobre corpus de 560 noches (NB05 §4).</w:t>
      </w:r>
    </w:p>
    <w:p>
      <w:pPr>
        <w:spacing w:after="200"/>
      </w:pPr>
      <w:r>
        <w:t/>
      </w:r>
    </w:p>
    <w:p w14:paraId="4D2D0407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233983F" wp14:editId="4064AB30">
            <wp:extent cx="5238750" cy="2390775"/>
            <wp:effectExtent l="0" t="0" r="0" b="0"/>
            <wp:docPr id="340051649" name="Trayectorias nocturnas PAC espacio PCA fenotipos" descr="Trayectorias nocturnas PAC espacio PCA fenotipos" title="Trayectorias nocturnas PAC espacio PCA fenotip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689E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6.6. </w:t>
      </w:r>
      <w:r>
        <w:rPr>
          <w:i/>
          <w:iCs/>
          <w:sz w:val="20"/>
          <w:szCs w:val="20"/>
        </w:rPr>
        <w:t>Trayectorias nocturnas en el espacio PCA (PC1 × PC2), coloreadas por fenotipo dinámico PAC. PC1 (33,6 %) representa el gradiente de carga hipóxica / respuesta autonómica; PC2 (23,6 %) el gradiente de dinamismo. El fenotipo Carga Hipóxica Alta se localiza en el extremo negativo de PC1 con baja variabilidad.</w:t>
      </w:r>
    </w:p>
    <w:p w14:paraId="51BA5AB3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6. n = 513 noches. El fenotipo Carga Hipóxica Alta aparece en el 4,4 % de las noches AASM Moderadas y en el 0 % de las Severas.</w:t>
      </w:r>
    </w:p>
    <w:p>
      <w:pPr>
        <w:spacing w:after="200"/>
      </w:pPr>
      <w:r>
        <w:t/>
      </w:r>
    </w:p>
    <w:p w14:paraId="6CB4097D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5EF726F" wp14:editId="6E05DE71">
            <wp:extent cx="5238750" cy="2952750"/>
            <wp:effectExtent l="0" t="0" r="0" b="0"/>
            <wp:docPr id="1208954792" name="Diagrama red Markoviana PAC States escala M corredores de vulnerabilidad" descr="Diagrama red Markoviana PAC States escala M corredores de vulnerabilidad" title="Diagrama red Markoviana PAC States escala M corredores de vulnerabil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FF43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6.6c. </w:t>
      </w:r>
      <w:r>
        <w:rPr>
          <w:i/>
          <w:iCs/>
          <w:sz w:val="20"/>
          <w:szCs w:val="20"/>
        </w:rPr>
        <w:t>Red de transiciones Markovianas entre estados PAC (escala M, 45.900 transiciones). M0 es el atractor principal del sistema (★). El corredor de vulnerabilidad M3→M1 conduce sistemáticamente a eventos severos (RR × 3,3). El corredor protector M0↔M2 representa la dinámica de recuperación fisiológica. El grosor de la flecha indica frecuencia relativa de transición.</w:t>
      </w:r>
    </w:p>
    <w:p w14:paraId="26399B1D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 §5. Transiciones calculadas sobre 560 noches, escala M (ventanas de 5 min).</w:t>
      </w:r>
    </w:p>
    <w:p>
      <w:pPr>
        <w:spacing w:after="200"/>
      </w:pPr>
      <w:r>
        <w:t/>
      </w:r>
    </w:p>
    <w:p w14:paraId="240B8413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8D2B09D" wp14:editId="45CE7A03">
            <wp:extent cx="5238750" cy="4181475"/>
            <wp:effectExtent l="0" t="0" r="0" b="0"/>
            <wp:docPr id="1883059579" name="Feature importance Gini Random Forest LOPO-CV NB06" descr="Feature importance Gini Random Forest LOPO-CV NB06" title="Feature importance Gini Random Forest LOPO-CV NB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86BF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6.7. </w:t>
      </w:r>
      <w:r>
        <w:rPr>
          <w:i/>
          <w:iCs/>
          <w:sz w:val="20"/>
          <w:szCs w:val="20"/>
        </w:rPr>
        <w:t>Top-25 features por importancia Gini (Random Forest, LOPO-CV, NB06). Las barras están coloreadas por grupo. Los PAC States dominan el ranking; la variable más importante es frac_state_s_S3 (Gini = 0,0860). El ARI queda en las posiciones más bajas, consistente con su ortogonalidad respecto a la severidad hipóxica.</w:t>
      </w:r>
    </w:p>
    <w:p w14:paraId="08FC2FEC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NB06. n = 540 noches, 8 pacientes. Barras = media ± SD sobre los 8 folds LOPO-CV.</w:t>
      </w:r>
    </w:p>
    <w:p>
      <w:pPr>
        <w:spacing w:after="200"/>
      </w:pPr>
      <w:r>
        <w:t/>
      </w:r>
    </w:p>
    <w:p w14:paraId="4535160A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108257A" wp14:editId="6092BFBD">
            <wp:extent cx="5238750" cy="2952750"/>
            <wp:effectExtent l="0" t="0" r="0" b="0"/>
            <wp:docPr id="1382551798" name="Diagrama tres fenotipos de trayectoria nocturna PAC K=3" descr="Diagrama tres fenotipos de trayectoria nocturna PAC K=3" title="Diagrama tres fenotipos de trayectoria nocturna PAC K=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5ED1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6.7c. </w:t>
      </w:r>
      <w:r>
        <w:rPr>
          <w:i/>
          <w:iCs/>
          <w:sz w:val="20"/>
          <w:szCs w:val="20"/>
        </w:rPr>
        <w:t>Tres fenotipos de trayectoria nocturna (K-means K=3, NB05 §6). Estable-Protector (28 %): dominancia M0/M2, eventos escasos, Risk Score PAC bajo. Carga Intermedia (70 %): alternancia M0–M1–M2, recuperación entre episodios. Carga Hipóxica Alta (1 %): dominancia M1 sostenida, sin consolidación protectora, Risk Score PAC alto. Hallazgo clave: el fenotipo CHA puede presentarse en pacientes con ODI3 = 14 ev/h (Moderado AASM).</w:t>
      </w:r>
    </w:p>
    <w:p w14:paraId="039141F5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Distribuciones de estados y Risk Score consistentes con corpus NB05 §6 / NB07 Bloque D.</w:t>
      </w:r>
    </w:p>
    <w:p>
      <w:pPr>
        <w:spacing w:after="200"/>
      </w:pPr>
      <w:r>
        <w:t/>
      </w:r>
    </w:p>
    <w:p w14:paraId="5F1A41DA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DABCF4C" wp14:editId="633C5326">
            <wp:extent cx="5238750" cy="3019425"/>
            <wp:effectExtent l="0" t="0" r="0" b="0"/>
            <wp:docPr id="440286863" name="Diagrama conceptual ablacion importancia features PAC vs clinicas" descr="Diagrama conceptual ablacion importancia features PAC vs clinicas" title="Diagrama conceptual ablacion importancia features PAC vs clin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2EDA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6.8c. </w:t>
      </w:r>
      <w:r>
        <w:rPr>
          <w:i/>
          <w:iCs/>
          <w:sz w:val="20"/>
          <w:szCs w:val="20"/>
        </w:rPr>
        <w:t>Importancia predictiva por grupo de features: experimento de ablación (izquierda) y barra de contribución acumulada (derecha). Al eliminar PAC States, el rendimiento cae −44,8 %. Al eliminar ARI, la caída es de solo −3,4 %, consistente con su ortogonalidad respecto a la severidad clínica (ρ = 0,034). Las representaciones PAC suman el 79,7 % del peso predictivo total, aprendidas sin supervisión de etiquetas clínicas. El modelo "PAC only" supera al modelo clínico puro (0,521 vs. 0,354).</w:t>
      </w:r>
    </w:p>
    <w:p w14:paraId="4ADB0ED4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NB06. 540 noches, 8 pacientes, LOPO-CV.</w:t>
      </w:r>
    </w:p>
    <w:p>
      <w:pPr>
        <w:spacing w:after="200"/>
      </w:pPr>
      <w:r>
        <w:t/>
      </w:r>
    </w:p>
    <w:p w14:paraId="00F116C1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C4ED005" wp14:editId="168F02EC">
            <wp:extent cx="5238750" cy="2190750"/>
            <wp:effectExtent l="0" t="0" r="0" b="0"/>
            <wp:docPr id="1228807212" name="Heatmap probabilidad evento severo por estado M y morfotipo" descr="Heatmap probabilidad evento severo por estado M y morfotipo" title="Heatmap probabilidad evento severo por estado M y morf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AADA" w14:textId="77777777" w:rsidR="0087342B" w:rsidRDefault="00000000">
      <w:pPr>
        <w:spacing w:before="80" w:after="200"/>
      </w:pPr>
      <w:r>
        <w:rPr>
          <w:b/>
          <w:bCs/>
          <w:color w:val="444444"/>
          <w:sz w:val="18"/>
          <w:szCs w:val="18"/>
        </w:rPr>
        <w:t xml:space="preserve">Figura 6.9a. </w:t>
      </w:r>
      <w:r>
        <w:rPr>
          <w:color w:val="444444"/>
          <w:sz w:val="18"/>
          <w:szCs w:val="18"/>
        </w:rPr>
        <w:t>Probabilidad predicha de evento severo (C4/C5) según el estado PAC de escala M en la ventana de 5 min previa y el historial morfológico acumulado. Valores representativos del modelo LightGBM (NB07 Bloque B, LOPO-CV, n = 76.053 eventos). La combinación M1 × historial C4/C5 genera la probabilidad más alta (38,6 %), mientras que M0 o M2 con historial C1/C2 producen valores inferiores al 2 %. El estado PAC modula el riesgo de forma multiplicativa sobre el historial morfológico: el contexto dinámico amplifica o atenúa la señal de cada evento. P marginal de referencia = 5,97 %.</w:t>
      </w:r>
    </w:p>
    <w:p>
      <w:pPr>
        <w:spacing w:after="200"/>
      </w:pPr>
      <w:r>
        <w:t/>
      </w:r>
    </w:p>
    <w:p w14:paraId="4F88E98F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BDE530D" wp14:editId="0B24F716">
            <wp:extent cx="5238750" cy="3019425"/>
            <wp:effectExtent l="0" t="0" r="0" b="0"/>
            <wp:docPr id="1926100748" name="Diagrama conceptual modelo predictivo evento severo NB07 Bloque B" descr="Diagrama conceptual modelo predictivo evento severo NB07 Bloque B" title="Diagrama conceptual modelo predictivo evento severo NB07 Bloqu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EF43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6.9c. </w:t>
      </w:r>
      <w:r>
        <w:rPr>
          <w:i/>
          <w:iCs/>
          <w:sz w:val="20"/>
          <w:szCs w:val="20"/>
        </w:rPr>
        <w:t>Modelo de predicción de evento severo (NB07 Bloque B): lectura causal evento a evento. La probabilidad P(severo) se actualiza con cada nuevo evento usando solo el historial de los últimos 5 min. El mismo estado M1 genera P = 8 % al inicio de la noche y P = 38,6 % tras tres eventos C4/C5 previos. Las cinco features más importantes (gain LightGBM) reflejan el contexto acumulado: posición en la noche, morfología reciente, CI acumulado, estado S activo y trayectoria M reciente.</w:t>
      </w:r>
    </w:p>
    <w:p w14:paraId="6B0BAEC9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 Bloque B. n = 76.053 eventos, 8 pacientes. Features calculadas causalmente.</w:t>
      </w:r>
    </w:p>
    <w:p>
      <w:pPr>
        <w:spacing w:after="200"/>
      </w:pPr>
      <w:r>
        <w:t/>
      </w:r>
    </w:p>
    <w:p w14:paraId="1015B4A3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427C6E8" wp14:editId="250689CD">
            <wp:extent cx="5238750" cy="2276475"/>
            <wp:effectExtent l="0" t="0" r="0" b="0"/>
            <wp:docPr id="1309691282" name="Panel dos noches contrastadas Risk Score PAC" descr="Panel dos noches contrastadas Risk Score PAC" title="Panel dos noches contrastadas Risk Score P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8C43" w14:textId="77777777" w:rsidR="0087342B" w:rsidRDefault="00000000">
      <w:pPr>
        <w:spacing w:before="80" w:after="200"/>
      </w:pPr>
      <w:r>
        <w:rPr>
          <w:b/>
          <w:bCs/>
          <w:color w:val="444444"/>
          <w:sz w:val="18"/>
          <w:szCs w:val="18"/>
        </w:rPr>
        <w:t xml:space="preserve">Figura 6.11a. </w:t>
      </w:r>
      <w:r>
        <w:rPr>
          <w:color w:val="444444"/>
          <w:sz w:val="18"/>
          <w:szCs w:val="18"/>
        </w:rPr>
        <w:t>Dos noches con ODI3 ≈ 14 ev/h (clasificación AASM idéntica: Moderado) y perfiles PAC opuestos. Noche A: dominancia de estados protectores M0/M2 (79 % del tiempo), fracción M1 = 2 %, ARI = 0,521, Risk Score PAC = 18/100. Noche B: dominancia de M1 (71 %), fracción M0 = 8 %, ARI = 0,284, Risk Score PAC = 84/100 — el fenotipo de Carga Hipóxica Alta descrito en §6.7. La arquitectura dinámica nocturna, invisible al ODI3, es la dimensión que el sistema PAC cuantifica y que el modelo nocturno (AUC = 0,874) aprende a separar.</w:t>
      </w:r>
    </w:p>
    <w:p>
      <w:pPr>
        <w:spacing w:after="200"/>
      </w:pPr>
      <w:r>
        <w:t/>
      </w:r>
    </w:p>
    <w:p w14:paraId="0A27D279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81579EC" wp14:editId="2AF31892">
            <wp:extent cx="5238750" cy="3019425"/>
            <wp:effectExtent l="0" t="0" r="0" b="0"/>
            <wp:docPr id="964442977" name="Diagrama conceptual modelo predictivo nocturno binario NB07 Bloque C" descr="Diagrama conceptual modelo predictivo nocturno binario NB07 Bloque C" title="Diagrama conceptual modelo predictivo nocturno binario NB07 Bloque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2E6B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6.11c. </w:t>
      </w:r>
      <w:r>
        <w:rPr>
          <w:i/>
          <w:iCs/>
          <w:sz w:val="20"/>
          <w:szCs w:val="20"/>
        </w:rPr>
        <w:t>Modelo predictivo nocturno (NB07 Bloque C): la noche completa resumida en un vector de features PAC. Dos noches con ODI3 idéntico (14 ev/h) producen vectores opuestos (frac_M0 = 0,79 vs. 0,08; frac_M1 = 0,02 vs. 0,71) y clasificaciones distintas (Normal/Leve, Score=18 vs. Moderado/Severo, Score=84). Las cuatro fracciones de estados M explican el 69,4 % de la importancia predictiva total.</w:t>
      </w:r>
    </w:p>
    <w:p w14:paraId="187B9D22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 Bloque C. n = 540 noches, 8 pacientes. Regresión logística LOPO-CV.</w:t>
      </w:r>
    </w:p>
    <w:p>
      <w:pPr>
        <w:spacing w:after="200"/>
      </w:pPr>
      <w:r>
        <w:t/>
      </w:r>
    </w:p>
    <w:p w14:paraId="3D157832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17A6513" wp14:editId="5F84695C">
            <wp:extent cx="5238750" cy="3019425"/>
            <wp:effectExtent l="0" t="0" r="0" b="0"/>
            <wp:docPr id="1170233807" name="Diagrama conceptual Risk Score PAC integracion evento noche escala 0-100" descr="Diagrama conceptual Risk Score PAC integracion evento noche escala 0-100" title="Diagrama conceptual Risk Score PAC integracion evento noche escala 0-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E25D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6.12c. </w:t>
      </w:r>
      <w:r>
        <w:rPr>
          <w:i/>
          <w:iCs/>
          <w:sz w:val="20"/>
          <w:szCs w:val="20"/>
        </w:rPr>
        <w:t>Risk Score PAC: integración de componente evento (40 %, LightGBM) y componente nocturno (60 %, regresión logística) en una escala 0–100. El gradiente por categoría AASM muestra el salto de +43 puntos entre Leve (29,4) y Moderado (72,9). El umbral operacional ≥ 60 detecta el 100 % de las noches Severas sin necesidad de interpretar probabilidades continuas.</w:t>
      </w:r>
    </w:p>
    <w:p w14:paraId="4BE8FF92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 Bloque D. Gradiente calculado sobre 540 noches, 8 pacientes.</w:t>
      </w:r>
    </w:p>
    <w:p>
      <w:pPr>
        <w:spacing w:after="200"/>
      </w:pPr>
      <w:r>
        <w:t/>
      </w:r>
    </w:p>
    <w:p w14:paraId="2C89AB07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8514C55" wp14:editId="41EA3830">
            <wp:extent cx="5238750" cy="2009775"/>
            <wp:effectExtent l="0" t="0" r="0" b="0"/>
            <wp:docPr id="1072944584" name="Calibracion Risk Score PAC vs probabilidades componentes" descr="Calibracion Risk Score PAC vs probabilidades componentes" title="Calibracion Risk Score PAC vs probabilidades compon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E64A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6.14. </w:t>
      </w:r>
      <w:r>
        <w:rPr>
          <w:i/>
          <w:iCs/>
          <w:sz w:val="20"/>
          <w:szCs w:val="20"/>
        </w:rPr>
        <w:t>Calibración del Risk Score PAC. Panel izquierdo: score versus probabilidad del componente nocturno p(alto riesgo) × 100. Panel derecho: score versus probabilidad media de evento severo p_severo_mean × 100. Los colores representan las cuatro categorías AASM. La separación entre grupos Moderado+Severo (rojo/violeta) y Normal+Leve (azul/verde) es clara en ambos paneles.</w:t>
      </w:r>
    </w:p>
    <w:p w14:paraId="2AF967F2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NB07, Bloque D. n = 540 noches.</w:t>
      </w:r>
    </w:p>
    <w:p>
      <w:pPr>
        <w:spacing w:after="200"/>
      </w:pPr>
      <w:r>
        <w:t/>
      </w:r>
    </w:p>
    <w:p>
      <w:r>
        <w:rPr>
          <w:b/>
        </w:rPr>
        <w:t xml:space="preserve">Cap08 — Predicción Prospectiva con Horizonte Temporal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2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8.1. Dataset de ventanas: características del corpus (NB08). Panel izquierdo: prevalencia de ventanas con C4/C5 en horizontes 2, 5, 10 y 15 min. Panel derecho: distribución de la duración nocturna de registro.</w:t>
      </w:r>
    </w:p>
    <w:p>
      <w:r>
        <w:t xml:space="preserve">Nota. Origen: NB08. n = 452.955 ventanas, 8 pacientes, cohorte estricta. La prevalencia crece monótonamente con el horizonte temporal.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2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8.6. Perfil de riesgo temporal y calibración del modelo (H = 5 min, LightGBM). Panel izquierdo: riesgo medio predicho a lo largo de la noche. Panel derecho: curva de calibración observada vs. predicha.</w:t>
      </w:r>
    </w:p>
    <w:p>
      <w:r>
        <w:t xml:space="preserve">Nota. Origen: NB08. El modelo sobreestima la probabilidad absoluta en ~4× (calibración diagonal ideal vs. curva observada), consistente con el entrenamiento sin scale_pos_weight. El perfil temporal muestra mayor riesgo predicho en el primer tercio de la noche.</w:t>
      </w:r>
    </w:p>
    <w:p/>
    <w:p>
      <w:r>
        <w:t xml:space="preserve">Tabla 8.2. Prevalencia de la clase positiva por horizonte temporal.</w:t>
      </w:r>
    </w:p>
    <w:p/>
    <w:tbl>
      <w:tblPr>
        <w:tblStyle w:val="TableGrid"/>
        <w:tblW w:w="9360" w:type="dxa"/>
      </w:tblPr>
      <w:tr>
        <w:tc>
          <w:p>
            <w:r>
              <w:rPr>
                <w:b/>
              </w:rPr>
              <w:t xml:space="preserve">Horizonte Δt</w:t>
            </w:r>
          </w:p>
        </w:tc>
        <w:tc>
          <w:p>
            <w:r>
              <w:rPr>
                <w:b/>
              </w:rPr>
              <w:t xml:space="preserve">Ventanas positivas</w:t>
            </w:r>
          </w:p>
        </w:tc>
        <w:tc>
          <w:p>
            <w:r>
              <w:rPr>
                <w:b/>
              </w:rPr>
              <w:t xml:space="preserve">Total ventanas</w:t>
            </w:r>
          </w:p>
        </w:tc>
        <w:tc>
          <w:p>
            <w:r>
              <w:rPr>
                <w:b/>
              </w:rPr>
              <w:t xml:space="preserve">Prevalencia (%)</w:t>
            </w:r>
          </w:p>
        </w:tc>
      </w:tr>
      <w:tr>
        <w:tc>
          <w:p>
            <w:r>
              <w:t xml:space="preserve">2 min</w:t>
            </w:r>
          </w:p>
        </w:tc>
        <w:tc>
          <w:p>
            <w:r>
              <w:t xml:space="preserve">16.951</w:t>
            </w:r>
          </w:p>
        </w:tc>
        <w:tc>
          <w:p>
            <w:r>
              <w:t xml:space="preserve">452.955</w:t>
            </w:r>
          </w:p>
        </w:tc>
        <w:tc>
          <w:p>
            <w:r>
              <w:t xml:space="preserve">3,74 %</w:t>
            </w:r>
          </w:p>
        </w:tc>
      </w:tr>
      <w:tr>
        <w:tc>
          <w:p>
            <w:r>
              <w:t xml:space="preserve">5 min</w:t>
            </w:r>
          </w:p>
        </w:tc>
        <w:tc>
          <w:p>
            <w:r>
              <w:t xml:space="preserve">36.438</w:t>
            </w:r>
          </w:p>
        </w:tc>
        <w:tc>
          <w:p>
            <w:r>
              <w:t xml:space="preserve">452.955</w:t>
            </w:r>
          </w:p>
        </w:tc>
        <w:tc>
          <w:p>
            <w:r>
              <w:t xml:space="preserve">8,04 %</w:t>
            </w:r>
          </w:p>
        </w:tc>
      </w:tr>
      <w:tr>
        <w:tc>
          <w:p>
            <w:r>
              <w:t xml:space="preserve">10 min</w:t>
            </w:r>
          </w:p>
        </w:tc>
        <w:tc>
          <w:p>
            <w:r>
              <w:t xml:space="preserve">62.853</w:t>
            </w:r>
          </w:p>
        </w:tc>
        <w:tc>
          <w:p>
            <w:r>
              <w:t xml:space="preserve">452.955</w:t>
            </w:r>
          </w:p>
        </w:tc>
        <w:tc>
          <w:p>
            <w:r>
              <w:t xml:space="preserve">13,88 %</w:t>
            </w:r>
          </w:p>
        </w:tc>
      </w:tr>
      <w:tr>
        <w:tc>
          <w:p>
            <w:r>
              <w:t xml:space="preserve">15 min</w:t>
            </w:r>
          </w:p>
        </w:tc>
        <w:tc>
          <w:p>
            <w:r>
              <w:t xml:space="preserve">85.583</w:t>
            </w:r>
          </w:p>
        </w:tc>
        <w:tc>
          <w:p>
            <w:r>
              <w:t xml:space="preserve">452.955</w:t>
            </w:r>
          </w:p>
        </w:tc>
        <w:tc>
          <w:p>
            <w:r>
              <w:t xml:space="preserve">18,89 %</w:t>
            </w:r>
          </w:p>
        </w:tc>
      </w:tr>
    </w:tbl>
    <w:p>
      <w:r>
        <w:t xml:space="preserve">Nota. El horizonte de 5 min constituye el punto operacional óptimo. La prevalencia aumenta con el horizonte porque ventanas más alejadas tienen más probabilidad de que ocurra algún evento severo.</w:t>
      </w:r>
    </w:p>
    <w:p/>
    <w:p>
      <w:r>
        <w:t xml:space="preserve">Tabla 8.3. Prevalencia de la clase positiva (Δt = 5 min) por paciente.</w:t>
      </w:r>
    </w:p>
    <w:p/>
    <w:tbl>
      <w:tblPr>
        <w:tblStyle w:val="TableGrid"/>
        <w:tblW w:w="9360" w:type="dxa"/>
      </w:tblPr>
      <w:tr>
        <w:tc>
          <w:p>
            <w:r>
              <w:rPr>
                <w:b/>
              </w:rPr>
              <w:t xml:space="preserve">Paciente</w:t>
            </w:r>
          </w:p>
        </w:tc>
        <w:tc>
          <w:p>
            <w:r>
              <w:rPr>
                <w:b/>
              </w:rPr>
              <w:t xml:space="preserve">Ventanas totales</w:t>
            </w:r>
          </w:p>
        </w:tc>
        <w:tc>
          <w:p>
            <w:r>
              <w:rPr>
                <w:b/>
              </w:rPr>
              <w:t xml:space="preserve">Ventanas positivas</w:t>
            </w:r>
          </w:p>
        </w:tc>
        <w:tc>
          <w:p>
            <w:r>
              <w:rPr>
                <w:b/>
              </w:rPr>
              <w:t xml:space="preserve">Prevalencia (%)</w:t>
            </w:r>
          </w:p>
        </w:tc>
      </w:tr>
      <w:tr>
        <w:tc>
          <w:p>
            <w:r>
              <w:t xml:space="preserve">175</w:t>
            </w:r>
          </w:p>
        </w:tc>
        <w:tc>
          <w:p>
            <w:r>
              <w:t xml:space="preserve">21.271</w:t>
            </w:r>
          </w:p>
        </w:tc>
        <w:tc>
          <w:p>
            <w:r>
              <w:t xml:space="preserve">6.836</w:t>
            </w:r>
          </w:p>
        </w:tc>
        <w:tc>
          <w:p>
            <w:r>
              <w:t xml:space="preserve">32,1 %</w:t>
            </w:r>
          </w:p>
        </w:tc>
      </w:tr>
      <w:tr>
        <w:tc>
          <w:p>
            <w:r>
              <w:t xml:space="preserve">240</w:t>
            </w:r>
          </w:p>
        </w:tc>
        <w:tc>
          <w:p>
            <w:r>
              <w:t xml:space="preserve">19.205</w:t>
            </w:r>
          </w:p>
        </w:tc>
        <w:tc>
          <w:p>
            <w:r>
              <w:t xml:space="preserve">2.368</w:t>
            </w:r>
          </w:p>
        </w:tc>
        <w:tc>
          <w:p>
            <w:r>
              <w:t xml:space="preserve">12,3 %</w:t>
            </w:r>
          </w:p>
        </w:tc>
      </w:tr>
      <w:tr>
        <w:tc>
          <w:p>
            <w:r>
              <w:t xml:space="preserve">309</w:t>
            </w:r>
          </w:p>
        </w:tc>
        <w:tc>
          <w:p>
            <w:r>
              <w:t xml:space="preserve">53.138</w:t>
            </w:r>
          </w:p>
        </w:tc>
        <w:tc>
          <w:p>
            <w:r>
              <w:t xml:space="preserve">2.596</w:t>
            </w:r>
          </w:p>
        </w:tc>
        <w:tc>
          <w:p>
            <w:r>
              <w:t xml:space="preserve">4,9 %</w:t>
            </w:r>
          </w:p>
        </w:tc>
      </w:tr>
      <w:tr>
        <w:tc>
          <w:p>
            <w:r>
              <w:t xml:space="preserve">314</w:t>
            </w:r>
          </w:p>
        </w:tc>
        <w:tc>
          <w:p>
            <w:r>
              <w:t xml:space="preserve">7.561</w:t>
            </w:r>
          </w:p>
        </w:tc>
        <w:tc>
          <w:p>
            <w:r>
              <w:t xml:space="preserve">119</w:t>
            </w:r>
          </w:p>
        </w:tc>
        <w:tc>
          <w:p>
            <w:r>
              <w:t xml:space="preserve">1,6 %</w:t>
            </w:r>
          </w:p>
        </w:tc>
      </w:tr>
      <w:tr>
        <w:tc>
          <w:p>
            <w:r>
              <w:t xml:space="preserve">321</w:t>
            </w:r>
          </w:p>
        </w:tc>
        <w:tc>
          <w:p>
            <w:r>
              <w:t xml:space="preserve">80.438</w:t>
            </w:r>
          </w:p>
        </w:tc>
        <w:tc>
          <w:p>
            <w:r>
              <w:t xml:space="preserve">3.898</w:t>
            </w:r>
          </w:p>
        </w:tc>
        <w:tc>
          <w:p>
            <w:r>
              <w:t xml:space="preserve">4,8 %</w:t>
            </w:r>
          </w:p>
        </w:tc>
      </w:tr>
      <w:tr>
        <w:tc>
          <w:p>
            <w:r>
              <w:t xml:space="preserve">336</w:t>
            </w:r>
          </w:p>
        </w:tc>
        <w:tc>
          <w:p>
            <w:r>
              <w:t xml:space="preserve">115.701</w:t>
            </w:r>
          </w:p>
        </w:tc>
        <w:tc>
          <w:p>
            <w:r>
              <w:t xml:space="preserve">8.275</w:t>
            </w:r>
          </w:p>
        </w:tc>
        <w:tc>
          <w:p>
            <w:r>
              <w:t xml:space="preserve">7,2 %</w:t>
            </w:r>
          </w:p>
        </w:tc>
      </w:tr>
      <w:tr>
        <w:tc>
          <w:p>
            <w:r>
              <w:t xml:space="preserve">656</w:t>
            </w:r>
          </w:p>
        </w:tc>
        <w:tc>
          <w:p>
            <w:r>
              <w:t xml:space="preserve">90.886</w:t>
            </w:r>
          </w:p>
        </w:tc>
        <w:tc>
          <w:p>
            <w:r>
              <w:t xml:space="preserve">7.165</w:t>
            </w:r>
          </w:p>
        </w:tc>
        <w:tc>
          <w:p>
            <w:r>
              <w:t xml:space="preserve">7,9 %</w:t>
            </w:r>
          </w:p>
        </w:tc>
      </w:tr>
      <w:tr>
        <w:tc>
          <w:p>
            <w:r>
              <w:t xml:space="preserve">683</w:t>
            </w:r>
          </w:p>
        </w:tc>
        <w:tc>
          <w:p>
            <w:r>
              <w:t xml:space="preserve">64.755</w:t>
            </w:r>
          </w:p>
        </w:tc>
        <w:tc>
          <w:p>
            <w:r>
              <w:t xml:space="preserve">5.181</w:t>
            </w:r>
          </w:p>
        </w:tc>
        <w:tc>
          <w:p>
            <w:r>
              <w:t xml:space="preserve">8,0 %</w:t>
            </w:r>
          </w:p>
        </w:tc>
      </w:tr>
    </w:tbl>
    <w:p>
      <w:r>
        <w:t xml:space="preserve">Nota. Cohorte estricta, horizonte 5 min. La variabilidad de 20× entre Pac 314 (1,6 %) y Pac 175 (32,1 %) es el principal desafío para la definición de un umbral de activación único.</w:t>
      </w:r>
    </w:p>
    <w:p/>
    <w:p>
      <w:r>
        <w:t xml:space="preserve">Tabla 8.5. Estabilidad inter-fold del AUC de LightGBM en LOPO-CV (NB08).</w:t>
      </w:r>
    </w:p>
    <w:p/>
    <w:tbl>
      <w:tblPr>
        <w:tblStyle w:val="TableGrid"/>
        <w:tblW w:w="9360" w:type="dxa"/>
      </w:tblPr>
      <w:tr>
        <w:tc>
          <w:p>
            <w:r>
              <w:rPr>
                <w:b/>
              </w:rPr>
              <w:t xml:space="preserve">Horizonte</w:t>
            </w:r>
          </w:p>
        </w:tc>
        <w:tc>
          <w:p>
            <w:r>
              <w:rPr>
                <w:b/>
              </w:rPr>
              <w:t xml:space="preserve">AUC medio</w:t>
            </w:r>
          </w:p>
        </w:tc>
        <w:tc>
          <w:p>
            <w:r>
              <w:rPr>
                <w:b/>
              </w:rPr>
              <w:t xml:space="preserve">Desv. estándar (±)</w:t>
            </w:r>
          </w:p>
        </w:tc>
        <w:tc>
          <w:p>
            <w:r>
              <w:rPr>
                <w:b/>
              </w:rPr>
              <w:t xml:space="preserve">Rango observado</w:t>
            </w:r>
          </w:p>
        </w:tc>
      </w:tr>
      <w:tr>
        <w:tc>
          <w:p>
            <w:r>
              <w:t xml:space="preserve">2 min</w:t>
            </w:r>
          </w:p>
        </w:tc>
        <w:tc>
          <w:p>
            <w:r>
              <w:t xml:space="preserve">0,838</w:t>
            </w:r>
          </w:p>
        </w:tc>
        <w:tc>
          <w:p>
            <w:r>
              <w:t xml:space="preserve">± 0,022</w:t>
            </w:r>
          </w:p>
        </w:tc>
        <w:tc>
          <w:p>
            <w:r>
              <w:t xml:space="preserve">0,80 – 0,87</w:t>
            </w:r>
          </w:p>
        </w:tc>
      </w:tr>
      <w:tr>
        <w:tc>
          <w:p>
            <w:r>
              <w:t xml:space="preserve">5 min</w:t>
            </w:r>
          </w:p>
        </w:tc>
        <w:tc>
          <w:p>
            <w:r>
              <w:t xml:space="preserve">0,821</w:t>
            </w:r>
          </w:p>
        </w:tc>
        <w:tc>
          <w:p>
            <w:r>
              <w:t xml:space="preserve">± 0,022</w:t>
            </w:r>
          </w:p>
        </w:tc>
        <w:tc>
          <w:p>
            <w:r>
              <w:t xml:space="preserve">0,79 – 0,86</w:t>
            </w:r>
          </w:p>
        </w:tc>
      </w:tr>
      <w:tr>
        <w:tc>
          <w:p>
            <w:r>
              <w:t xml:space="preserve">10 min</w:t>
            </w:r>
          </w:p>
        </w:tc>
        <w:tc>
          <w:p>
            <w:r>
              <w:t xml:space="preserve">0,785</w:t>
            </w:r>
          </w:p>
        </w:tc>
        <w:tc>
          <w:p>
            <w:r>
              <w:t xml:space="preserve">± 0,029</w:t>
            </w:r>
          </w:p>
        </w:tc>
        <w:tc>
          <w:p>
            <w:r>
              <w:t xml:space="preserve">0,75 – 0,85</w:t>
            </w:r>
          </w:p>
        </w:tc>
      </w:tr>
      <w:tr>
        <w:tc>
          <w:p>
            <w:r>
              <w:t xml:space="preserve">15 min</w:t>
            </w:r>
          </w:p>
        </w:tc>
        <w:tc>
          <w:p>
            <w:r>
              <w:t xml:space="preserve">0,765</w:t>
            </w:r>
          </w:p>
        </w:tc>
        <w:tc>
          <w:p>
            <w:r>
              <w:t xml:space="preserve">± 0,032</w:t>
            </w:r>
          </w:p>
        </w:tc>
        <w:tc>
          <w:p>
            <w:r>
              <w:t xml:space="preserve">0,73 – 0,84</w:t>
            </w:r>
          </w:p>
        </w:tc>
      </w:tr>
    </w:tbl>
    <w:p>
      <w:r>
        <w:t xml:space="preserve">Nota. La desviación estándar menor a 3 puntos en todos los horizontes indica que el modelo generaliza de forma consistente entre los 8 folds de validación.</w:t>
      </w:r>
    </w:p>
    <w:p/>
    <w:sectPr>
      <w:headerReference w:type="default" r:id="rId2"/>
      <w:footerReference w:type="default" r:id="rId3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r="http://schemas.openxmlformats.org/officeDocument/2006/relationships"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6220F" w14:textId="77777777" w:rsidR="0087342B" w:rsidRDefault="00000000">
    <w:pPr>
      <w:pBdr>
        <w:top w:val="single" w:sz="4" w:space="4" w:color="D0D8E4"/>
      </w:pBdr>
      <w:jc w:val="right"/>
    </w:pPr>
    <w:r>
      <w:rPr>
        <w:color w:val="6B7280"/>
        <w:sz w:val="18"/>
        <w:szCs w:val="18"/>
      </w:rPr>
      <w:t xml:space="preserve">Roberto Inza · Universidad Austral · 2026       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A6607A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r="http://schemas.openxmlformats.org/officeDocument/2006/relationships"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ADD82" w14:textId="77777777" w:rsidR="0087342B" w:rsidRDefault="00000000">
    <w:pPr>
      <w:pBdr>
        <w:bottom w:val="single" w:sz="4" w:space="4" w:color="D0D8E4"/>
      </w:pBdr>
      <w:tabs>
        <w:tab w:val="right" w:pos="8666"/>
      </w:tabs>
    </w:pPr>
    <w:r>
      <w:rPr>
        <w:color w:val="6B7280"/>
        <w:sz w:val="18"/>
        <w:szCs w:val="18"/>
      </w:rPr>
      <w:t>Proyecto APNEA · Tesis de Maestría</w:t>
    </w:r>
    <w:r>
      <w:rPr>
        <w:sz w:val="18"/>
        <w:szCs w:val="18"/>
      </w:rPr>
      <w:tab/>
    </w:r>
    <w:r>
      <w:rPr>
        <w:i/>
        <w:iCs/>
        <w:color w:val="6B7280"/>
        <w:sz w:val="18"/>
        <w:szCs w:val="18"/>
      </w:rPr>
      <w:t>Capítulo 6 — Modelado predictivo  (v14)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42B"/>
    <w:rsid w:val="000B4FE3"/>
    <w:rsid w:val="000D6075"/>
    <w:rsid w:val="0087342B"/>
    <w:rsid w:val="00A6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85D10BE"/>
  <w15:docId w15:val="{0A9BA9C1-4D06-0543-9C92-5CDEC8951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40"/>
      <w:outlineLvl w:val="1"/>
    </w:pPr>
    <w:rPr>
      <w:b/>
      <w:bCs/>
      <w:color w:val="1E3A5F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fontTable" Target="fontTable.xml"/>
<Relationship Id="rId5" Type="http://schemas.openxmlformats.org/officeDocument/2006/relationships/settings" Target="settings.xml"/>
<Relationship Id="rId6" Type="http://schemas.openxmlformats.org/officeDocument/2006/relationships/theme" Target="theme/theme1.xml"/>
<Relationship Id="rId7" Type="http://schemas.openxmlformats.org/officeDocument/2006/relationships/image" Target="media/image1.png"/>
<Relationship Id="rId8" Type="http://schemas.openxmlformats.org/officeDocument/2006/relationships/image" Target="media/image2.png"/>
<Relationship Id="rId9" Type="http://schemas.openxmlformats.org/officeDocument/2006/relationships/image" Target="media/image3.png"/>
<Relationship Id="rId10" Type="http://schemas.openxmlformats.org/officeDocument/2006/relationships/image" Target="media/image4.png"/>
<Relationship Id="rId11" Type="http://schemas.openxmlformats.org/officeDocument/2006/relationships/image" Target="media/image5.png"/>
<Relationship Id="rId12" Type="http://schemas.openxmlformats.org/officeDocument/2006/relationships/image" Target="media/image6.png"/>
<Relationship Id="rId13" Type="http://schemas.openxmlformats.org/officeDocument/2006/relationships/image" Target="media/image8.png"/>
<Relationship Id="rId14" Type="http://schemas.openxmlformats.org/officeDocument/2006/relationships/image" Target="media/image7.png"/>
<Relationship Id="rId15" Type="http://schemas.openxmlformats.org/officeDocument/2006/relationships/image" Target="media/image10.png"/>
<Relationship Id="rId16" Type="http://schemas.openxmlformats.org/officeDocument/2006/relationships/image" Target="media/image9.png"/>
<Relationship Id="rId17" Type="http://schemas.openxmlformats.org/officeDocument/2006/relationships/image" Target="media/image12.png"/>
<Relationship Id="rId18" Type="http://schemas.openxmlformats.org/officeDocument/2006/relationships/image" Target="media/image11.png"/>
<Relationship Id="rId19" Type="http://schemas.openxmlformats.org/officeDocument/2006/relationships/image" Target="media/image14.png"/>
<Relationship Id="rId20" Type="http://schemas.openxmlformats.org/officeDocument/2006/relationships/image" Target="media/image13.png"/>
<Relationship Id="rId21" Type="http://schemas.openxmlformats.org/officeDocument/2006/relationships/image" Target="media/image16.png"/>
<Relationship Id="rId22" Type="http://schemas.openxmlformats.org/officeDocument/2006/relationships/image" Target="media/image17.png"/>
<Relationship Id="rId23" Type="http://schemas.openxmlformats.org/officeDocument/2006/relationships/image" Target="media/image19.png"/>
<Relationship Id="rId24" Type="http://schemas.openxmlformats.org/officeDocument/2006/relationships/image" Target="media/image20.png"/>
<Relationship Id="rId25" Type="http://schemas.openxmlformats.org/officeDocument/2006/relationships/image" Target="media/image22.png"/>
<Relationship Id="rId26" Type="http://schemas.openxmlformats.org/officeDocument/2006/relationships/image" Target="media/image25.png"/>
<Relationship Id="rId27" Type="http://schemas.openxmlformats.org/officeDocument/2006/relationships/image" Target="media/image24.png"/>
<Relationship Id="rId_en" Type="http://schemas.openxmlformats.org/officeDocument/2006/relationships/endnotes" Target="endnotes.xml"/>
<Relationship Id="rId_fn" Type="http://schemas.openxmlformats.org/officeDocument/2006/relationships/footnotes" Target="footnotes.xml"/>
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cap05_fig51.png"/><Relationship Id="rId33" Type="http://schemas.openxmlformats.org/officeDocument/2006/relationships/image" Target="media/cap05_fig55.png"/><Relationship Id="rId34" Type="http://schemas.openxmlformats.org/officeDocument/2006/relationships/image" Target="media/cap08_fig81.png"/><Relationship Id="rId35" Type="http://schemas.openxmlformats.org/officeDocument/2006/relationships/image" Target="media/cap08_fig83.png"/><Relationship Id="rId36" Type="http://schemas.openxmlformats.org/officeDocument/2006/relationships/image" Target="media/cap08_fig8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