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r>
        <w:rPr>
          <w:b/>
        </w:rPr>
        <w:t xml:space="preserve">Cap01 — Introducción (Tabla de problemas y soluciones)</w:t>
      </w:r>
    </w:p>
    <w:p/>
    <w:p>
      <w:r>
        <w:t xml:space="preserve">Tabla 1.1. Resumen de problemas identificados y soluciones propuestas por el Proyecto PAC.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Problema identificado</w:t>
            </w:r>
          </w:p>
        </w:tc>
        <w:tc>
          <w:p>
            <w:r>
              <w:rPr>
                <w:b/>
              </w:rPr>
              <w:t xml:space="preserve">Solución propuesta</w:t>
            </w:r>
          </w:p>
        </w:tc>
      </w:tr>
      <w:tr>
        <w:tc>
          <w:p>
            <w:r>
              <w:t xml:space="preserve">Los índices clásicos condensan noches complejas en un único valor resumen, ocultando la dinámica temporal y la heterogeneidad morfológica de los eventos respiratorios.</w:t>
            </w:r>
          </w:p>
        </w:tc>
        <w:tc>
          <w:p>
            <w:r>
              <w:t xml:space="preserve">Fenotipado morfológico de EDOs mediante K-means sobre la curva completa de SpO₂: cinco morfotipos (C1–C5) con perfiles diferenciados de profundidad, duración y carga hipóxica.</w:t>
            </w:r>
          </w:p>
        </w:tc>
      </w:tr>
      <w:tr>
        <w:tc>
          <w:p>
            <w:r>
              <w:t xml:space="preserve">No existe una métrica que capture la respuesta autonómica al evento hipóxico individual de forma independiente de los índices de frecuencia clásicos.</w:t>
            </w:r>
          </w:p>
        </w:tc>
        <w:tc>
          <w:p>
            <w:r>
              <w:t xml:space="preserve">Índice de Reactividad Autonómica (ARI): dimensión complementaria y parcialmente independiente de los índices clásicos, que busca cuantificar la respuesta cardíaca relativa a la caída de SpO₂.</w:t>
            </w:r>
          </w:p>
        </w:tc>
      </w:tr>
      <w:tr>
        <w:tc>
          <w:p>
            <w:r>
              <w:t xml:space="preserve">Los análisis basados en índices agregados no capturan la organización dinámica de la noche como secuencia temporal de estados fisiológicos diferenciados.</w:t>
            </w:r>
          </w:p>
        </w:tc>
        <w:tc>
          <w:p>
            <w:r>
              <w:t xml:space="preserve">PAC States a tres escalas temporales (S/M/L): representación del sueño como trayectoria fisiológica multiescala con estados interpretables en distintas resoluciones.</w:t>
            </w:r>
          </w:p>
        </w:tc>
      </w:tr>
      <w:tr>
        <w:tc>
          <w:p>
            <w:r>
              <w:t xml:space="preserve">El impacto de un evento depende del contexto fisiológico en que ocurre, pero los índices clásicos no distinguen entre eventos equivalentes producidos en contextos distintos.</w:t>
            </w:r>
          </w:p>
        </w:tc>
        <w:tc>
          <w:p>
            <w:r>
              <w:t xml:space="preserve">Análisis de acoplamiento evento–estado PAC: evaluación de cómo el riesgo de eventos severos varía según el estado fisiológico activo, distinguiendo estados protectores y patológicos.</w:t>
            </w:r>
          </w:p>
        </w:tc>
      </w:tr>
      <w:tr>
        <w:tc>
          <w:p>
            <w:r>
              <w:t xml:space="preserve">Los registros domiciliarios generan grandes volúmenes de datos que no se traducen automáticamente en información clínicamente útil.</w:t>
            </w:r>
          </w:p>
        </w:tc>
        <w:tc>
          <w:p>
            <w:r>
              <w:t xml:space="preserve">Aplicación clínica interactiva con pipeline de inferencia completo: morfotipos, estados PAC, índice de riesgo e informe con asistencia de IA en flujo automatizado.</w:t>
            </w:r>
          </w:p>
        </w:tc>
      </w:tr>
      <w:tr>
        <w:tc>
          <w:p>
            <w:r>
              <w:t xml:space="preserve">No existe capacidad de anticipar eventos severos con margen temporal suficiente para activar una intervención terapéutica preventiva.</w:t>
            </w:r>
          </w:p>
        </w:tc>
        <w:tc>
          <w:p>
            <w:r>
              <w:t xml:space="preserve">Sistema de predicción prospectiva con margen temporal (NB08): estimación de la probabilidad de evento severo en los próximos minutos, validada mediante LOPO-CV a nivel de paciente.</w:t>
            </w:r>
          </w:p>
        </w:tc>
      </w:tr>
    </w:tbl>
    <w:p>
      <w:r>
        <w:t xml:space="preserve">Nota. Los seis pares corresponden a los seis módulos analíticos de PAC_v3: NB01 (morfotipos C1–C5), NB02 (ARI), NB03–NB04 (PAC States), NB05–NB07 (acoplamiento y modelos), Cap07 (app clínica), NB08 (predicción prospectiva).</w:t>
      </w:r>
    </w:p>
    <w:p/>
    <w:p>
      <w:r>
        <w:rPr>
          <w:b/>
        </w:rPr>
        <w:t xml:space="preserve">Cap01 — Introducción</w:t>
      </w:r>
    </w:p>
    <w:p/>
    <w:p>
      <w:r>
        <w:t xml:space="preserve">Tabla 1.8. Técnicas de ciencia de datos y aprendizaje automático aplicadas en el Proyecto PAC.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Técnica / Método</w:t>
            </w:r>
          </w:p>
        </w:tc>
        <w:tc>
          <w:p>
            <w:r>
              <w:rPr>
                <w:b/>
              </w:rPr>
              <w:t xml:space="preserve">Rol en el proyecto</w:t>
            </w:r>
          </w:p>
        </w:tc>
        <w:tc>
          <w:p>
            <w:r>
              <w:rPr>
                <w:b/>
              </w:rPr>
              <w:t xml:space="preserve">Categoría</w:t>
            </w:r>
          </w:p>
        </w:tc>
        <w:tc>
          <w:p>
            <w:r>
              <w:rPr>
                <w:b/>
              </w:rPr>
              <w:t xml:space="preserve">Capítulos</w:t>
            </w:r>
          </w:p>
        </w:tc>
      </w:tr>
      <w:tr>
        <w:tc>
          <w:p>
            <w:r>
              <w:t xml:space="preserve">Correlación intraclase</w:t>
            </w:r>
          </w:p>
        </w:tc>
        <w:tc>
          <w:p>
            <w:r>
              <w:t xml:space="preserve">Evaluación de la reproducibilidad noche a noche de las métricas fisiológicas por paciente.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Caps. 3 y 4</w:t>
            </w:r>
          </w:p>
        </w:tc>
      </w:tr>
      <w:tr>
        <w:tc>
          <w:p>
            <w:r>
              <w:t xml:space="preserve">Correlación de Spearman</w:t>
            </w:r>
          </w:p>
        </w:tc>
        <w:tc>
          <w:p>
            <w:r>
              <w:t xml:space="preserve">Análisis de asociación entre variables fisiológicas y clínicas. Evaluación de la independencia parcial del ARI respecto de los índices clásicos.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Caps. 4 y 5</w:t>
            </w:r>
          </w:p>
        </w:tc>
      </w:tr>
      <w:tr>
        <w:tc>
          <w:p>
            <w:r>
              <w:t xml:space="preserve">Chi-cuadrado y V de Cramér</w:t>
            </w:r>
          </w:p>
        </w:tc>
        <w:tc>
          <w:p>
            <w:r>
              <w:t xml:space="preserve">Cuantificación de la asociación entre estados PAC y morfotipos de eventos en las tres escalas temporales.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Cap. 5</w:t>
            </w:r>
          </w:p>
        </w:tc>
      </w:tr>
      <w:tr>
        <w:tc>
          <w:p>
            <w:r>
              <w:t xml:space="preserve">Análisis de calibración</w:t>
            </w:r>
          </w:p>
        </w:tc>
        <w:tc>
          <w:p>
            <w:r>
              <w:t xml:space="preserve">Verificación de la correspondencia entre probabilidades predichas y frecuencia real de eventos. Ajuste del índice de riesgo compuesto.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Bootstrap e intervalos de confianza</w:t>
            </w:r>
          </w:p>
        </w:tc>
        <w:tc>
          <w:p>
            <w:r>
              <w:t xml:space="preserve">Estimación de la incertidumbre en métricas de riesgo relativo y estabilidad de modelos en muestras pequeñas.</w:t>
            </w:r>
          </w:p>
        </w:tc>
        <w:tc>
          <w:p>
            <w:r>
              <w:t xml:space="preserve">Estadística</w:t>
            </w:r>
          </w:p>
        </w:tc>
        <w:tc>
          <w:p>
            <w:r>
              <w:t xml:space="preserve">Caps. 5 y 6</w:t>
            </w:r>
          </w:p>
        </w:tc>
      </w:tr>
      <w:tr>
        <w:tc>
          <w:p>
            <w:r>
              <w:t xml:space="preserve">Agrupamiento K-Medias</w:t>
            </w:r>
          </w:p>
        </w:tc>
        <w:tc>
          <w:p>
            <w:r>
              <w:t xml:space="preserve">Identificación de morfotipos de EDOs sobre curvas de SpO₂ y construcción de los estados PAC a las tres escalas.</w:t>
            </w:r>
          </w:p>
        </w:tc>
        <w:tc>
          <w:p>
            <w:r>
              <w:t xml:space="preserve">Aprendizaje no supervisado</w:t>
            </w:r>
          </w:p>
        </w:tc>
        <w:tc>
          <w:p>
            <w:r>
              <w:t xml:space="preserve">Caps. 4 y 5</w:t>
            </w:r>
          </w:p>
        </w:tc>
      </w:tr>
      <w:tr>
        <w:tc>
          <w:p>
            <w:r>
              <w:t xml:space="preserve">Análisis de componentes principales</w:t>
            </w:r>
          </w:p>
        </w:tc>
        <w:tc>
          <w:p>
            <w:r>
              <w:t xml:space="preserve">Reducción de dimensionalidad para explorar la estructura de la matriz de variables nocturnas.</w:t>
            </w:r>
          </w:p>
        </w:tc>
        <w:tc>
          <w:p>
            <w:r>
              <w:t xml:space="preserve">Aprendizaje no supervisado</w:t>
            </w:r>
          </w:p>
        </w:tc>
        <w:tc>
          <w:p>
            <w:r>
              <w:t xml:space="preserve">Caps. 4, 5 y 6</w:t>
            </w:r>
          </w:p>
        </w:tc>
      </w:tr>
      <w:tr>
        <w:tc>
          <w:p>
            <w:r>
              <w:t xml:space="preserve">Análisis de silueta</w:t>
            </w:r>
          </w:p>
        </w:tc>
        <w:tc>
          <w:p>
            <w:r>
              <w:t xml:space="preserve">Criterio cuantitativo para la selección del número óptimo de grupos en el fenotipado de eventos.</w:t>
            </w:r>
          </w:p>
        </w:tc>
        <w:tc>
          <w:p>
            <w:r>
              <w:t xml:space="preserve">Aprendizaje no supervisado</w:t>
            </w:r>
          </w:p>
        </w:tc>
        <w:tc>
          <w:p>
            <w:r>
              <w:t xml:space="preserve">Cap. 4</w:t>
            </w:r>
          </w:p>
        </w:tc>
      </w:tr>
      <w:tr>
        <w:tc>
          <w:p>
            <w:r>
              <w:t xml:space="preserve">Agrupamiento de trayectorias nocturnas</w:t>
            </w:r>
          </w:p>
        </w:tc>
        <w:tc>
          <w:p>
            <w:r>
              <w:t xml:space="preserve">Identificación de arquetipos de organización nocturna sobre vectores de variables dinámicas por noche.</w:t>
            </w:r>
          </w:p>
        </w:tc>
        <w:tc>
          <w:p>
            <w:r>
              <w:t xml:space="preserve">Aprendizaje no supervisado</w:t>
            </w:r>
          </w:p>
        </w:tc>
        <w:tc>
          <w:p>
            <w:r>
              <w:t xml:space="preserve">Cap. 5</w:t>
            </w:r>
          </w:p>
        </w:tc>
      </w:tr>
      <w:tr>
        <w:tc>
          <w:p>
            <w:r>
              <w:t xml:space="preserve">Cadenas de Markov discretas</w:t>
            </w:r>
          </w:p>
        </w:tc>
        <w:tc>
          <w:p>
            <w:r>
              <w:t xml:space="preserve">Modelado de probabilidades de transición entre estados PAC. Identificación de atractores y resiliencia post-evento.</w:t>
            </w:r>
          </w:p>
        </w:tc>
        <w:tc>
          <w:p>
            <w:r>
              <w:t xml:space="preserve">Modelos dinámicos</w:t>
            </w:r>
          </w:p>
        </w:tc>
        <w:tc>
          <w:p>
            <w:r>
              <w:t xml:space="preserve">Caps. 5 y 6</w:t>
            </w:r>
          </w:p>
        </w:tc>
      </w:tr>
      <w:tr>
        <w:tc>
          <w:p>
            <w:r>
              <w:t xml:space="preserve">Análisis de acoplamiento temporal</w:t>
            </w:r>
          </w:p>
        </w:tc>
        <w:tc>
          <w:p>
            <w:r>
              <w:t xml:space="preserve">Cuantificación de la fracción de eventos severos en estados PAC patológicos.</w:t>
            </w:r>
          </w:p>
        </w:tc>
        <w:tc>
          <w:p>
            <w:r>
              <w:t xml:space="preserve">Series temporales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Predicción sobre ventanas deslizantes</w:t>
            </w:r>
          </w:p>
        </w:tc>
        <w:tc>
          <w:p>
            <w:r>
              <w:t xml:space="preserve">Construcción del dataset de predicción prospectiva (ventanas de 30 s) para NB08.</w:t>
            </w:r>
          </w:p>
        </w:tc>
        <w:tc>
          <w:p>
            <w:r>
              <w:t xml:space="preserve">Series temporales</w:t>
            </w:r>
          </w:p>
        </w:tc>
        <w:tc>
          <w:p>
            <w:r>
              <w:t xml:space="preserve">Cap. 8</w:t>
            </w:r>
          </w:p>
        </w:tc>
      </w:tr>
      <w:tr>
        <w:tc>
          <w:p>
            <w:r>
              <w:t xml:space="preserve">Gradiente potenciado (LightGBM)</w:t>
            </w:r>
          </w:p>
        </w:tc>
        <w:tc>
          <w:p>
            <w:r>
              <w:t xml:space="preserve">Modelo de predicción de severidad del evento individual y predicción prospectiva NB08.</w:t>
            </w:r>
          </w:p>
        </w:tc>
        <w:tc>
          <w:p>
            <w:r>
              <w:t xml:space="preserve">Aprendizaje supervisado</w:t>
            </w:r>
          </w:p>
        </w:tc>
        <w:tc>
          <w:p>
            <w:r>
              <w:t xml:space="preserve">Caps. 6 y 8</w:t>
            </w:r>
          </w:p>
        </w:tc>
      </w:tr>
      <w:tr>
        <w:tc>
          <w:p>
            <w:r>
              <w:t xml:space="preserve">Regresión logística regularizada</w:t>
            </w:r>
          </w:p>
        </w:tc>
        <w:tc>
          <w:p>
            <w:r>
              <w:t xml:space="preserve">Clasificación de riesgo nocturno sobre la matriz de variables de noche.</w:t>
            </w:r>
          </w:p>
        </w:tc>
        <w:tc>
          <w:p>
            <w:r>
              <w:t xml:space="preserve">Aprendizaje supervisado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Bosque aleatorio</w:t>
            </w:r>
          </w:p>
        </w:tc>
        <w:tc>
          <w:p>
            <w:r>
              <w:t xml:space="preserve">Modelo de referencia para la clasificación de severidad nocturna.</w:t>
            </w:r>
          </w:p>
        </w:tc>
        <w:tc>
          <w:p>
            <w:r>
              <w:t xml:space="preserve">Aprendizaje supervisado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Validación cruzada LOPO</w:t>
            </w:r>
          </w:p>
        </w:tc>
        <w:tc>
          <w:p>
            <w:r>
              <w:t xml:space="preserve">Esquema de validación estricta que deja un paciente fuera en cada fold.</w:t>
            </w:r>
          </w:p>
        </w:tc>
        <w:tc>
          <w:p>
            <w:r>
              <w:t xml:space="preserve">Evaluación de modelos</w:t>
            </w:r>
          </w:p>
        </w:tc>
        <w:tc>
          <w:p>
            <w:r>
              <w:t xml:space="preserve">Caps. 6 y 8</w:t>
            </w:r>
          </w:p>
        </w:tc>
      </w:tr>
      <w:tr>
        <w:tc>
          <w:p>
            <w:r>
              <w:t xml:space="preserve">Análisis ROC y precisión-exhaustividad</w:t>
            </w:r>
          </w:p>
        </w:tc>
        <w:tc>
          <w:p>
            <w:r>
              <w:t xml:space="preserve">Evaluación del poder discriminativo y definición de umbrales operacionales.</w:t>
            </w:r>
          </w:p>
        </w:tc>
        <w:tc>
          <w:p>
            <w:r>
              <w:t xml:space="preserve">Evaluación de modelos</w:t>
            </w:r>
          </w:p>
        </w:tc>
        <w:tc>
          <w:p>
            <w:r>
              <w:t xml:space="preserve">Caps. 6 y 8</w:t>
            </w:r>
          </w:p>
        </w:tc>
      </w:tr>
      <w:tr>
        <w:tc>
          <w:p>
            <w:r>
              <w:t xml:space="preserve">Valores de Shapley (SHAP)</w:t>
            </w:r>
          </w:p>
        </w:tc>
        <w:tc>
          <w:p>
            <w:r>
              <w:t xml:space="preserve">Análisis de interpretabilidad del clasificador de riesgo nocturno.</w:t>
            </w:r>
          </w:p>
        </w:tc>
        <w:tc>
          <w:p>
            <w:r>
              <w:t xml:space="preserve">Interpretabilidad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Estudio de ablación</w:t>
            </w:r>
          </w:p>
        </w:tc>
        <w:tc>
          <w:p>
            <w:r>
              <w:t xml:space="preserve">Evaluación del aporte incremental de cada bloque de features al modelo.</w:t>
            </w:r>
          </w:p>
        </w:tc>
        <w:tc>
          <w:p>
            <w:r>
              <w:t xml:space="preserve">Evaluación de modelos</w:t>
            </w:r>
          </w:p>
        </w:tc>
        <w:tc>
          <w:p>
            <w:r>
              <w:t xml:space="preserve">Cap. 6</w:t>
            </w:r>
          </w:p>
        </w:tc>
      </w:tr>
      <w:tr>
        <w:tc>
          <w:p>
            <w:r>
              <w:t xml:space="preserve">Índice de riesgo compuesto</w:t>
            </w:r>
          </w:p>
        </w:tc>
        <w:tc>
          <w:p>
            <w:r>
              <w:t xml:space="preserve">Síntesis de predicciones de evento y noche en índice integrado (Risk Score PAC).</w:t>
            </w:r>
          </w:p>
        </w:tc>
        <w:tc>
          <w:p>
            <w:r>
              <w:t xml:space="preserve">Síntesis predictiva</w:t>
            </w:r>
          </w:p>
        </w:tc>
        <w:tc>
          <w:p>
            <w:r>
              <w:t xml:space="preserve">Cap. 6</w:t>
            </w:r>
          </w:p>
        </w:tc>
      </w:tr>
    </w:tbl>
    <w:p>
      <w:r>
        <w:t xml:space="preserve">Nota. La tabla presenta las 20 técnicas aplicadas a lo largo de la tesis, con su rol, categoría metodológica y capítulos donde se emplean. Esta tabla se presenta como material suplementario a la descripción de §1.8.</w:t>
      </w:r>
    </w:p>
    <w:p/>
    <w:p>
      <w:r>
        <w:rPr>
          <w:b/>
        </w:rPr>
        <w:t xml:space="preserve">Cap04 — Fenotipado Morfológico y Reactividad Autonómica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4.3. Perfiles de frecuencia cardíaca (FC, fila A) y movimiento (MOV, fila B) por morfotipo C1–C5.</w:t>
      </w:r>
    </w:p>
    <w:p>
      <w: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4.5. Análisis within-stratum del ARI: diferencias entre ARI-alto y ARI-bajo dentro de cada estrato de severidad ODI3.</w:t>
      </w:r>
    </w:p>
    <w:p>
      <w:r>
        <w:t xml:space="preserve">Nota. Estratos ODI3: Leve (&lt; 5 ev/h), Moderado (5–15 ev/h), Grave (15–30 ev/h), Muy grave (&gt; 30 ev/h). (a) HR gain mediana (lpm/pp) para ARI-alto vs ARI-bajo: diferencia significativa en todos los estratos (*** p &lt; 0,001). (b) Fracción de morfotipos severos C4+C5 por grupo ARI: diferencia significativa en Moderado y Muy grave. (c) T90 (fracción de tiempo con SpO₂ &lt; 90 %) por grupo ARI: diferencia significativa en Leve, Moderado y Muy grave. ns: no significativo. Análisis realizado con prueba de Mann-Whitney U con corrección de Bonferroni.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4.6. Estabilización del ODI3 con el número de noches promediadas (simulación bootstrap, cohorte estricta, 8 pacientes).</w:t>
      </w:r>
    </w:p>
    <w:p>
      <w:r>
        <w:t xml:space="preserve">Nota. Cohorte estricta: 8 pacientes con ≥ 10 noches in_quality. (A) Error absoluto medio (MAE, ev/h) del ODI3 vs número de noches promediadas; banda sombreada: IQR bootstrap (300 iteraciones). Línea punteada roja: umbral operacional MAE = 2 ev/h, alcanzado aproximadamente a partir de 4 noches. (B) ICC(1,1) vs número de noches; los valores crecen desde 0,70 (1 noche) hasta 0,98 (14 noches).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4.7. Validación multi-noche del ARI: MAE bootstrap y análisis de concordancia Bland-Altman.</w:t>
      </w:r>
    </w:p>
    <w:p>
      <w:r>
        <w:t xml:space="preserve">Nota. (A) MAE bootstrap (IC 95 %) del ARI paciente-nivel vs número de noches promediadas; umbral operacional ARI = 0,05 indicado con línea punteada. El MAE desciende por debajo de 0,01 desde las primeras noches. (B) Análisis de Bland-Altman: diferencia entre ARI de 1 noche y media multi-noche versus promedio de ambas; sesgo = 0,001 (línea roja), límites de acuerdo (LoA) ± 0,097 (líneas punteadas naranjas). La variabilidad residual es homogénea en todo el rango del ARI.</w:t>
      </w:r>
    </w:p>
    <w:p/>
    <w:p>
      <w:r>
        <w:t xml:space="preserve">Tabla 4.3. Correspondencia entre morfotipos escalares (α–κ, K = 10) y morfotipos de curva (C1–C5).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Morfotipo escalar</w:t>
            </w:r>
          </w:p>
        </w:tc>
        <w:tc>
          <w:p>
            <w:r>
              <w:rPr>
                <w:b/>
              </w:rPr>
              <w:t xml:space="preserve">N eventos</w:t>
            </w:r>
          </w:p>
        </w:tc>
        <w:tc>
          <w:p>
            <w:r>
              <w:rPr>
                <w:b/>
              </w:rPr>
              <w:t xml:space="preserve">C4+C5 (%)</w:t>
            </w:r>
          </w:p>
        </w:tc>
        <w:tc>
          <w:p>
            <w:r>
              <w:rPr>
                <w:b/>
              </w:rPr>
              <w:t xml:space="preserve">Alineación principal</w:t>
            </w:r>
          </w:p>
        </w:tc>
        <w:tc>
          <w:p>
            <w:r>
              <w:rPr>
                <w:b/>
              </w:rPr>
              <w:t xml:space="preserve">Perfil</w:t>
            </w:r>
          </w:p>
        </w:tc>
      </w:tr>
      <w:tr>
        <w:tc>
          <w:p>
            <w:r>
              <w:t xml:space="preserve">β</w:t>
            </w:r>
          </w:p>
        </w:tc>
        <w:tc>
          <w:p>
            <w:r>
              <w:t xml:space="preserve">51.801</w:t>
            </w:r>
          </w:p>
        </w:tc>
        <w:tc>
          <w:p>
            <w:r>
              <w:t xml:space="preserve">0,0 %</w:t>
            </w:r>
          </w:p>
        </w:tc>
        <w:tc>
          <w:p>
            <w:r>
              <w:t xml:space="preserve">→ C1 (87,4 %)</w:t>
            </w:r>
          </w:p>
        </w:tc>
        <w:tc>
          <w:p>
            <w:r>
              <w:t xml:space="preserve">Dominante subcrítico — 60,8 % del corpus</w:t>
            </w:r>
          </w:p>
        </w:tc>
      </w:tr>
      <w:tr>
        <w:tc>
          <w:p>
            <w:r>
              <w:t xml:space="preserve">γ</w:t>
            </w:r>
          </w:p>
        </w:tc>
        <w:tc>
          <w:p>
            <w:r>
              <w:t xml:space="preserve">8.590</w:t>
            </w:r>
          </w:p>
        </w:tc>
        <w:tc>
          <w:p>
            <w:r>
              <w:t xml:space="preserve">1,0 %</w:t>
            </w:r>
          </w:p>
        </w:tc>
        <w:tc>
          <w:p>
            <w:r>
              <w:t xml:space="preserve">→ C1 (61,7 %), C2 (34,8 %)</w:t>
            </w:r>
          </w:p>
        </w:tc>
        <w:tc>
          <w:p>
            <w:r>
              <w:t xml:space="preserve">C1/C2 mixto — baja carga hipóxica</w:t>
            </w:r>
          </w:p>
        </w:tc>
      </w:tr>
      <w:tr>
        <w:tc>
          <w:p>
            <w:r>
              <w:t xml:space="preserve">η</w:t>
            </w:r>
          </w:p>
        </w:tc>
        <w:tc>
          <w:p>
            <w:r>
              <w:t xml:space="preserve">7.286</w:t>
            </w:r>
          </w:p>
        </w:tc>
        <w:tc>
          <w:p>
            <w:r>
              <w:t xml:space="preserve">1,2 %</w:t>
            </w:r>
          </w:p>
        </w:tc>
        <w:tc>
          <w:p>
            <w:r>
              <w:t xml:space="preserve">→ C2 (58,6 %), C1 (35,6 %)</w:t>
            </w:r>
          </w:p>
        </w:tc>
        <w:tc>
          <w:p>
            <w:r>
              <w:t xml:space="preserve">Leve-moderado con buena recuperación</w:t>
            </w:r>
          </w:p>
        </w:tc>
      </w:tr>
      <w:tr>
        <w:tc>
          <w:p>
            <w:r>
              <w:t xml:space="preserve">κ</w:t>
            </w:r>
          </w:p>
        </w:tc>
        <w:tc>
          <w:p>
            <w:r>
              <w:t xml:space="preserve">6.739</w:t>
            </w:r>
          </w:p>
        </w:tc>
        <w:tc>
          <w:p>
            <w:r>
              <w:t xml:space="preserve">17,1 %</w:t>
            </w:r>
          </w:p>
        </w:tc>
        <w:tc>
          <w:p>
            <w:r>
              <w:t xml:space="preserve">→ C2 (60,1 %), C4 (17,0 %)</w:t>
            </w:r>
          </w:p>
        </w:tc>
        <w:tc>
          <w:p>
            <w:r>
              <w:t xml:space="preserve">C2 dominante con fracción severa moderada</w:t>
            </w:r>
          </w:p>
        </w:tc>
      </w:tr>
      <w:tr>
        <w:tc>
          <w:p>
            <w:r>
              <w:t xml:space="preserve">α</w:t>
            </w:r>
          </w:p>
        </w:tc>
        <w:tc>
          <w:p>
            <w:r>
              <w:t xml:space="preserve">4.675</w:t>
            </w:r>
          </w:p>
        </w:tc>
        <w:tc>
          <w:p>
            <w:r>
              <w:t xml:space="preserve">29,1 %</w:t>
            </w:r>
          </w:p>
        </w:tc>
        <w:tc>
          <w:p>
            <w:r>
              <w:t xml:space="preserve">→ C2 (37,1 %), C3 (30,1 %), C4 (28,0 %)</w:t>
            </w:r>
          </w:p>
        </w:tc>
        <w:tc>
          <w:p>
            <w:r>
              <w:t xml:space="preserve">Mixto severo-moderado; fronteras difusas entre C2/C3/C4</w:t>
            </w:r>
          </w:p>
        </w:tc>
      </w:tr>
      <w:tr>
        <w:tc>
          <w:p>
            <w:r>
              <w:t xml:space="preserve">ζ</w:t>
            </w:r>
          </w:p>
        </w:tc>
        <w:tc>
          <w:p>
            <w:r>
              <w:t xml:space="preserve">3.698</w:t>
            </w:r>
          </w:p>
        </w:tc>
        <w:tc>
          <w:p>
            <w:r>
              <w:t xml:space="preserve">24,0 %</w:t>
            </w:r>
          </w:p>
        </w:tc>
        <w:tc>
          <w:p>
            <w:r>
              <w:t xml:space="preserve">→ C2 (46,4 %), C4 (23,1 %), C3 (21,1 %)</w:t>
            </w:r>
          </w:p>
        </w:tc>
        <w:tc>
          <w:p>
            <w:r>
              <w:t xml:space="preserve">Mixto moderado-severo; contribución severa relevante</w:t>
            </w:r>
          </w:p>
        </w:tc>
      </w:tr>
      <w:tr>
        <w:tc>
          <w:p>
            <w:r>
              <w:t xml:space="preserve">ε</w:t>
            </w:r>
          </w:p>
        </w:tc>
        <w:tc>
          <w:p>
            <w:r>
              <w:t xml:space="preserve">548</w:t>
            </w:r>
          </w:p>
        </w:tc>
        <w:tc>
          <w:p>
            <w:r>
              <w:t xml:space="preserve">20,6 %</w:t>
            </w:r>
          </w:p>
        </w:tc>
        <w:tc>
          <w:p>
            <w:r>
              <w:t xml:space="preserve">→ C3 (68,2 %)</w:t>
            </w:r>
          </w:p>
        </w:tc>
        <w:tc>
          <w:p>
            <w:r>
              <w:t xml:space="preserve">Predominio C3 — severo agudo</w:t>
            </w:r>
          </w:p>
        </w:tc>
      </w:tr>
      <w:tr>
        <w:tc>
          <w:p>
            <w:r>
              <w:t xml:space="preserve">ι</w:t>
            </w:r>
          </w:p>
        </w:tc>
        <w:tc>
          <w:p>
            <w:r>
              <w:t xml:space="preserve">201</w:t>
            </w:r>
          </w:p>
        </w:tc>
        <w:tc>
          <w:p>
            <w:r>
              <w:t xml:space="preserve">68,2 %</w:t>
            </w:r>
          </w:p>
        </w:tc>
        <w:tc>
          <w:p>
            <w:r>
              <w:t xml:space="preserve">→ C4 (48,3 %), C5 (19,9 %)</w:t>
            </w:r>
          </w:p>
        </w:tc>
        <w:tc>
          <w:p>
            <w:r>
              <w:t xml:space="preserve">Severo C4/C5 — alta tasa de eventos críticos</w:t>
            </w:r>
          </w:p>
        </w:tc>
      </w:tr>
      <w:tr>
        <w:tc>
          <w:p>
            <w:r>
              <w:t xml:space="preserve">θ</w:t>
            </w:r>
          </w:p>
        </w:tc>
        <w:tc>
          <w:p>
            <w:r>
              <w:t xml:space="preserve">1.597</w:t>
            </w:r>
          </w:p>
        </w:tc>
        <w:tc>
          <w:p>
            <w:r>
              <w:t xml:space="preserve">71,1 %</w:t>
            </w:r>
          </w:p>
        </w:tc>
        <w:tc>
          <w:p>
            <w:r>
              <w:t xml:space="preserve">→ C4 (39,7 %), C5 (31,4 %), C3 (25,8 %)</w:t>
            </w:r>
          </w:p>
        </w:tc>
        <w:tc>
          <w:p>
            <w:r>
              <w:t xml:space="preserve">Severo mixto C4/C5 — segundo concentrador de morfotipos severos</w:t>
            </w:r>
          </w:p>
        </w:tc>
      </w:tr>
      <w:tr>
        <w:tc>
          <w:p>
            <w:r>
              <w:t xml:space="preserve">δ</w:t>
            </w:r>
          </w:p>
        </w:tc>
        <w:tc>
          <w:p>
            <w:r>
              <w:t xml:space="preserve">151</w:t>
            </w:r>
          </w:p>
        </w:tc>
        <w:tc>
          <w:p>
            <w:r>
              <w:t xml:space="preserve">94,7 %</w:t>
            </w:r>
          </w:p>
        </w:tc>
        <w:tc>
          <w:p>
            <w:r>
              <w:t xml:space="preserve">→ C5 (82,5 %), C4 (17,5 %)</w:t>
            </w:r>
          </w:p>
        </w:tc>
        <w:tc>
          <w:p>
            <w:r>
              <w:t xml:space="preserve">Concentrador máximo de C5 — morfotipo de mayor pureza severa</w:t>
            </w:r>
          </w:p>
        </w:tc>
      </w:tr>
    </w:tbl>
    <w:p>
      <w:r>
        <w:t xml:space="preserve">Nota. Datos verificados sobre gold/events.parquet (N = 85.286 EDOs). C4+C5 (%): fracción de eventos del morfotipo escalar que se alinean con morfotipos severos de curva. Alineación principal: morfotipo(s) de curva con mayor frecuencia dentro del morfotipo escalar. Los morfotipos escalares δ y θ concentran la mayor pureza de morfotipos severos C4/C5.</w:t>
      </w:r>
    </w:p>
    <w:p/>
    <w:p>
      <w:pPr>
        <w:spacing w:after="200"/>
      </w:pPr>
      <w:r>
        <w:rPr>
          <w:b/>
          <w:bCs/>
          <w:color w:val="1E3A5F"/>
          <w:sz w:val="36"/>
          <w:szCs w:val="36"/>
        </w:rPr>
        <w:t>Anexo de Material Suplementario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reúne figuras y tablas trasladadas del cuerpo principal para reducir la extensión del texto. El material está organizado por capítulo. Se conservan captions, notas y numeración originales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Cap05 — PAC States y Caracterización Multiescala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5.1. Estabilidad del ARI nocturno por paciente a lo largo de las noches monitoreadas. Cada panel corresponde a un paciente.</w:t>
      </w:r>
    </w:p>
    <w:p>
      <w:r>
        <w:t xml:space="preserve">Nota. Origen: NB03. Solo se muestran noches quality (n = 553). El orden es cronológico por fecha de registro. Las líneas horizontales indican la media del ARI nocturno del paciente; las barras de error, el IQR noche a noche.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5.5. PCA multiescala y fenotipos nocturnos (K = 3). Proyección de 560 noches quality en el plano PC1–PC2.</w:t>
      </w:r>
    </w:p>
    <w:p>
      <w:r>
        <w:t xml:space="preserve">Nota. Origen: NB04. PC1 explica el 29,2 % de la varianza (loadings dominantes: frac_s_S2, frac_s_S1, frac_m_M0); PC2 el 12,1 %. Los tres clusters se superponen parcialmente en el espacio PC1–PC2: la separación es más clara en dimensiones superiores. Colores: cluster 1 = baja severidad, cluster 2 = severidad moderada, cluster 3 = carga hipóxica alta.</w:t>
      </w:r>
    </w:p>
    <w:p/>
    <w:p>
      <w:r>
        <w:t xml:space="preserve">Tabla 5.4. Matriz síntesis: estado PAC clave por dimensión fisiológica y escala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Escala</w:t>
            </w:r>
          </w:p>
        </w:tc>
        <w:tc>
          <w:p>
            <w:r>
              <w:rPr>
                <w:b/>
              </w:rPr>
              <w:t xml:space="preserve">Estado clave</w:t>
            </w:r>
          </w:p>
        </w:tc>
        <w:tc>
          <w:p>
            <w:r>
              <w:rPr>
                <w:b/>
              </w:rPr>
              <w:t xml:space="preserve">Dimensión fisiológica</w:t>
            </w:r>
          </w:p>
        </w:tc>
        <w:tc>
          <w:p>
            <w:r>
              <w:rPr>
                <w:b/>
              </w:rPr>
              <w:t xml:space="preserve">Mejor ρ Spearman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Frecuencia de eventos (AHI / ODI)</w:t>
            </w:r>
          </w:p>
        </w:tc>
        <w:tc>
          <w:p>
            <w:r>
              <w:t xml:space="preserve">+0,691  (AHI3)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Reactividad autonómica (ARI)</w:t>
            </w:r>
          </w:p>
        </w:tc>
        <w:tc>
          <w:p>
            <w:r>
              <w:t xml:space="preserve">+0,637  (ARI media)</w:t>
            </w:r>
          </w:p>
        </w:tc>
      </w:tr>
      <w:tr>
        <w:tc>
          <w:p>
            <w:r>
              <w:t xml:space="preserve">M — 5 min</w:t>
            </w:r>
          </w:p>
        </w:tc>
        <w:tc>
          <w:p>
            <w:r>
              <w:t xml:space="preserve">M1</w:t>
            </w:r>
          </w:p>
        </w:tc>
        <w:tc>
          <w:p>
            <w:r>
              <w:t xml:space="preserve">Carga hipóxica acumulada (T90, HB3)</w:t>
            </w:r>
          </w:p>
        </w:tc>
        <w:tc>
          <w:p>
            <w:r>
              <w:t xml:space="preserve">+0,744  (T90)</w:t>
            </w:r>
          </w:p>
        </w:tc>
      </w:tr>
      <w:tr>
        <w:tc>
          <w:p>
            <w:r>
              <w:t xml:space="preserve">L — 30 min</w:t>
            </w:r>
          </w:p>
        </w:tc>
        <w:tc>
          <w:p>
            <w:r>
              <w:t xml:space="preserve">L0</w:t>
            </w:r>
          </w:p>
        </w:tc>
        <w:tc>
          <w:p>
            <w:r>
              <w:t xml:space="preserve">Arquitectura hipóxica global (T90)</w:t>
            </w:r>
          </w:p>
        </w:tc>
        <w:tc>
          <w:p>
            <w:r>
              <w:t xml:space="preserve">+0,705  (T90 min)</w:t>
            </w:r>
          </w:p>
        </w:tc>
      </w:tr>
    </w:tbl>
    <w:p>
      <w:r>
        <w:t xml:space="preserve">Nota. Correlaciones de Spearman sobre n = 560 noches, cohorte completa (NB04). S4 y S5 pertenecen a la misma escala (S, 30 s) pero capturan dimensiones fisiológicas distintas. Esta tabla se presenta como material suplementario a la Tabla 5.3, que resume el mismo resultado en formato expandido.</w:t>
      </w:r>
    </w:p>
    <w:p/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p>
      <w:r>
        <w:rPr>
          <w:b/>
        </w:rPr>
        <w:t xml:space="preserve">Cap08 — Predicción Prospectiva con Horizonte Temporal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8.1. Dataset de ventanas: características del corpus (NB08). Panel izquierdo: prevalencia de ventanas con C4/C5 en horizontes 2, 5, 10 y 15 min. Panel derecho: distribución de la duración nocturna de registro.</w:t>
      </w:r>
    </w:p>
    <w:p>
      <w:r>
        <w:t xml:space="preserve">Nota. Origen: NB08. n = 452.955 ventanas, 8 pacientes, cohorte estricta. La prevalencia crece monótonamente con el horizonte temporal.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8.6. Perfil de riesgo temporal y calibración del modelo (H = 5 min, LightGBM). Panel izquierdo: riesgo medio predicho a lo largo de la noche. Panel derecho: curva de calibración observada vs. predicha.</w:t>
      </w:r>
    </w:p>
    <w:p>
      <w:r>
        <w:t xml:space="preserve">Nota. Origen: NB08. El modelo sobreestima la probabilidad absoluta en ~4× (calibración diagonal ideal vs. curva observada), consistente con el entrenamiento sin scale_pos_weight. El perfil temporal muestra mayor riesgo predicho en el primer tercio de la noche.</w:t>
      </w:r>
    </w:p>
    <w:p/>
    <w:p>
      <w:r>
        <w:t xml:space="preserve">Tabla 8.2. Prevalencia de la clase positiva por horizonte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Horizonte Δt</w:t>
            </w:r>
          </w:p>
        </w:tc>
        <w:tc>
          <w:p>
            <w:r>
              <w:rPr>
                <w:b/>
              </w:rPr>
              <w:t xml:space="preserve">Ventanas positivas</w:t>
            </w:r>
          </w:p>
        </w:tc>
        <w:tc>
          <w:p>
            <w:r>
              <w:rPr>
                <w:b/>
              </w:rPr>
              <w:t xml:space="preserve">Total ventanas</w:t>
            </w:r>
          </w:p>
        </w:tc>
        <w:tc>
          <w:p>
            <w:r>
              <w:rPr>
                <w:b/>
              </w:rPr>
              <w:t xml:space="preserve">Prevalencia (%)</w:t>
            </w:r>
          </w:p>
        </w:tc>
      </w:tr>
      <w:tr>
        <w:tc>
          <w:p>
            <w:r>
              <w:t xml:space="preserve">2 min</w:t>
            </w:r>
          </w:p>
        </w:tc>
        <w:tc>
          <w:p>
            <w:r>
              <w:t xml:space="preserve">16.951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3,74 %</w:t>
            </w:r>
          </w:p>
        </w:tc>
      </w:tr>
      <w:tr>
        <w:tc>
          <w:p>
            <w:r>
              <w:t xml:space="preserve">5 min</w:t>
            </w:r>
          </w:p>
        </w:tc>
        <w:tc>
          <w:p>
            <w:r>
              <w:t xml:space="preserve">36.438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8,04 %</w:t>
            </w:r>
          </w:p>
        </w:tc>
      </w:tr>
      <w:tr>
        <w:tc>
          <w:p>
            <w:r>
              <w:t xml:space="preserve">10 min</w:t>
            </w:r>
          </w:p>
        </w:tc>
        <w:tc>
          <w:p>
            <w:r>
              <w:t xml:space="preserve">62.853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13,88 %</w:t>
            </w:r>
          </w:p>
        </w:tc>
      </w:tr>
      <w:tr>
        <w:tc>
          <w:p>
            <w:r>
              <w:t xml:space="preserve">15 min</w:t>
            </w:r>
          </w:p>
        </w:tc>
        <w:tc>
          <w:p>
            <w:r>
              <w:t xml:space="preserve">85.583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18,89 %</w:t>
            </w:r>
          </w:p>
        </w:tc>
      </w:tr>
    </w:tbl>
    <w:p>
      <w:r>
        <w:t xml:space="preserve">Nota. El horizonte de 5 min constituye el punto operacional óptimo. La prevalencia aumenta con el horizonte porque ventanas más alejadas tienen más probabilidad de que ocurra algún evento severo.</w:t>
      </w:r>
    </w:p>
    <w:p/>
    <w:p>
      <w:r>
        <w:t xml:space="preserve">Tabla 8.3. Prevalencia de la clase positiva (Δt = 5 min) por paciente.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Paciente</w:t>
            </w:r>
          </w:p>
        </w:tc>
        <w:tc>
          <w:p>
            <w:r>
              <w:rPr>
                <w:b/>
              </w:rPr>
              <w:t xml:space="preserve">Ventanas totales</w:t>
            </w:r>
          </w:p>
        </w:tc>
        <w:tc>
          <w:p>
            <w:r>
              <w:rPr>
                <w:b/>
              </w:rPr>
              <w:t xml:space="preserve">Ventanas positivas</w:t>
            </w:r>
          </w:p>
        </w:tc>
        <w:tc>
          <w:p>
            <w:r>
              <w:rPr>
                <w:b/>
              </w:rPr>
              <w:t xml:space="preserve">Prevalencia (%)</w:t>
            </w:r>
          </w:p>
        </w:tc>
      </w:tr>
      <w:tr>
        <w:tc>
          <w:p>
            <w:r>
              <w:t xml:space="preserve">175</w:t>
            </w:r>
          </w:p>
        </w:tc>
        <w:tc>
          <w:p>
            <w:r>
              <w:t xml:space="preserve">21.271</w:t>
            </w:r>
          </w:p>
        </w:tc>
        <w:tc>
          <w:p>
            <w:r>
              <w:t xml:space="preserve">6.836</w:t>
            </w:r>
          </w:p>
        </w:tc>
        <w:tc>
          <w:p>
            <w:r>
              <w:t xml:space="preserve">32,1 %</w:t>
            </w:r>
          </w:p>
        </w:tc>
      </w:tr>
      <w:tr>
        <w:tc>
          <w:p>
            <w:r>
              <w:t xml:space="preserve">240</w:t>
            </w:r>
          </w:p>
        </w:tc>
        <w:tc>
          <w:p>
            <w:r>
              <w:t xml:space="preserve">19.205</w:t>
            </w:r>
          </w:p>
        </w:tc>
        <w:tc>
          <w:p>
            <w:r>
              <w:t xml:space="preserve">2.368</w:t>
            </w:r>
          </w:p>
        </w:tc>
        <w:tc>
          <w:p>
            <w:r>
              <w:t xml:space="preserve">12,3 %</w:t>
            </w:r>
          </w:p>
        </w:tc>
      </w:tr>
      <w:tr>
        <w:tc>
          <w:p>
            <w:r>
              <w:t xml:space="preserve">309</w:t>
            </w:r>
          </w:p>
        </w:tc>
        <w:tc>
          <w:p>
            <w:r>
              <w:t xml:space="preserve">53.138</w:t>
            </w:r>
          </w:p>
        </w:tc>
        <w:tc>
          <w:p>
            <w:r>
              <w:t xml:space="preserve">2.596</w:t>
            </w:r>
          </w:p>
        </w:tc>
        <w:tc>
          <w:p>
            <w:r>
              <w:t xml:space="preserve">4,9 %</w:t>
            </w:r>
          </w:p>
        </w:tc>
      </w:tr>
      <w:tr>
        <w:tc>
          <w:p>
            <w:r>
              <w:t xml:space="preserve">314</w:t>
            </w:r>
          </w:p>
        </w:tc>
        <w:tc>
          <w:p>
            <w:r>
              <w:t xml:space="preserve">7.561</w:t>
            </w:r>
          </w:p>
        </w:tc>
        <w:tc>
          <w:p>
            <w:r>
              <w:t xml:space="preserve">119</w:t>
            </w:r>
          </w:p>
        </w:tc>
        <w:tc>
          <w:p>
            <w:r>
              <w:t xml:space="preserve">1,6 %</w:t>
            </w:r>
          </w:p>
        </w:tc>
      </w:tr>
      <w:tr>
        <w:tc>
          <w:p>
            <w:r>
              <w:t xml:space="preserve">321</w:t>
            </w:r>
          </w:p>
        </w:tc>
        <w:tc>
          <w:p>
            <w:r>
              <w:t xml:space="preserve">80.438</w:t>
            </w:r>
          </w:p>
        </w:tc>
        <w:tc>
          <w:p>
            <w:r>
              <w:t xml:space="preserve">3.898</w:t>
            </w:r>
          </w:p>
        </w:tc>
        <w:tc>
          <w:p>
            <w:r>
              <w:t xml:space="preserve">4,8 %</w:t>
            </w:r>
          </w:p>
        </w:tc>
      </w:tr>
      <w:tr>
        <w:tc>
          <w:p>
            <w:r>
              <w:t xml:space="preserve">336</w:t>
            </w:r>
          </w:p>
        </w:tc>
        <w:tc>
          <w:p>
            <w:r>
              <w:t xml:space="preserve">115.701</w:t>
            </w:r>
          </w:p>
        </w:tc>
        <w:tc>
          <w:p>
            <w:r>
              <w:t xml:space="preserve">8.275</w:t>
            </w:r>
          </w:p>
        </w:tc>
        <w:tc>
          <w:p>
            <w:r>
              <w:t xml:space="preserve">7,2 %</w:t>
            </w:r>
          </w:p>
        </w:tc>
      </w:tr>
      <w:tr>
        <w:tc>
          <w:p>
            <w:r>
              <w:t xml:space="preserve">656</w:t>
            </w:r>
          </w:p>
        </w:tc>
        <w:tc>
          <w:p>
            <w:r>
              <w:t xml:space="preserve">90.886</w:t>
            </w:r>
          </w:p>
        </w:tc>
        <w:tc>
          <w:p>
            <w:r>
              <w:t xml:space="preserve">7.165</w:t>
            </w:r>
          </w:p>
        </w:tc>
        <w:tc>
          <w:p>
            <w:r>
              <w:t xml:space="preserve">7,9 %</w:t>
            </w:r>
          </w:p>
        </w:tc>
      </w:tr>
      <w:tr>
        <w:tc>
          <w:p>
            <w:r>
              <w:t xml:space="preserve">683</w:t>
            </w:r>
          </w:p>
        </w:tc>
        <w:tc>
          <w:p>
            <w:r>
              <w:t xml:space="preserve">64.755</w:t>
            </w:r>
          </w:p>
        </w:tc>
        <w:tc>
          <w:p>
            <w:r>
              <w:t xml:space="preserve">5.181</w:t>
            </w:r>
          </w:p>
        </w:tc>
        <w:tc>
          <w:p>
            <w:r>
              <w:t xml:space="preserve">8,0 %</w:t>
            </w:r>
          </w:p>
        </w:tc>
      </w:tr>
    </w:tbl>
    <w:p>
      <w:r>
        <w:t xml:space="preserve">Nota. Cohorte estricta, horizonte 5 min. La variabilidad de 20× entre Pac 314 (1,6 %) y Pac 175 (32,1 %) es el principal desafío para la definición de un umbral de activación único.</w:t>
      </w:r>
    </w:p>
    <w:p/>
    <w:p>
      <w:r>
        <w:t xml:space="preserve">Tabla 8.5. Estabilidad inter-fold del AUC de LightGBM en LOPO-CV (NB08).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Horizonte</w:t>
            </w:r>
          </w:p>
        </w:tc>
        <w:tc>
          <w:p>
            <w:r>
              <w:rPr>
                <w:b/>
              </w:rPr>
              <w:t xml:space="preserve">AUC medio</w:t>
            </w:r>
          </w:p>
        </w:tc>
        <w:tc>
          <w:p>
            <w:r>
              <w:rPr>
                <w:b/>
              </w:rPr>
              <w:t xml:space="preserve">Desv. estándar (±)</w:t>
            </w:r>
          </w:p>
        </w:tc>
        <w:tc>
          <w:p>
            <w:r>
              <w:rPr>
                <w:b/>
              </w:rPr>
              <w:t xml:space="preserve">Rango observado</w:t>
            </w:r>
          </w:p>
        </w:tc>
      </w:tr>
      <w:tr>
        <w:tc>
          <w:p>
            <w:r>
              <w:t xml:space="preserve">2 min</w:t>
            </w:r>
          </w:p>
        </w:tc>
        <w:tc>
          <w:p>
            <w:r>
              <w:t xml:space="preserve">0,838</w:t>
            </w:r>
          </w:p>
        </w:tc>
        <w:tc>
          <w:p>
            <w:r>
              <w:t xml:space="preserve">± 0,022</w:t>
            </w:r>
          </w:p>
        </w:tc>
        <w:tc>
          <w:p>
            <w:r>
              <w:t xml:space="preserve">0,80 – 0,87</w:t>
            </w:r>
          </w:p>
        </w:tc>
      </w:tr>
      <w:tr>
        <w:tc>
          <w:p>
            <w:r>
              <w:t xml:space="preserve">5 min</w:t>
            </w:r>
          </w:p>
        </w:tc>
        <w:tc>
          <w:p>
            <w:r>
              <w:t xml:space="preserve">0,821</w:t>
            </w:r>
          </w:p>
        </w:tc>
        <w:tc>
          <w:p>
            <w:r>
              <w:t xml:space="preserve">± 0,022</w:t>
            </w:r>
          </w:p>
        </w:tc>
        <w:tc>
          <w:p>
            <w:r>
              <w:t xml:space="preserve">0,79 – 0,86</w:t>
            </w:r>
          </w:p>
        </w:tc>
      </w:tr>
      <w:tr>
        <w:tc>
          <w:p>
            <w:r>
              <w:t xml:space="preserve">10 min</w:t>
            </w:r>
          </w:p>
        </w:tc>
        <w:tc>
          <w:p>
            <w:r>
              <w:t xml:space="preserve">0,785</w:t>
            </w:r>
          </w:p>
        </w:tc>
        <w:tc>
          <w:p>
            <w:r>
              <w:t xml:space="preserve">± 0,029</w:t>
            </w:r>
          </w:p>
        </w:tc>
        <w:tc>
          <w:p>
            <w:r>
              <w:t xml:space="preserve">0,75 – 0,85</w:t>
            </w:r>
          </w:p>
        </w:tc>
      </w:tr>
      <w:tr>
        <w:tc>
          <w:p>
            <w:r>
              <w:t xml:space="preserve">15 min</w:t>
            </w:r>
          </w:p>
        </w:tc>
        <w:tc>
          <w:p>
            <w:r>
              <w:t xml:space="preserve">0,765</w:t>
            </w:r>
          </w:p>
        </w:tc>
        <w:tc>
          <w:p>
            <w:r>
              <w:t xml:space="preserve">± 0,032</w:t>
            </w:r>
          </w:p>
        </w:tc>
        <w:tc>
          <w:p>
            <w:r>
              <w:t xml:space="preserve">0,73 – 0,84</w:t>
            </w:r>
          </w:p>
        </w:tc>
      </w:tr>
    </w:tbl>
    <w:p>
      <w:r>
        <w:t xml:space="preserve">Nota. La desviación estándar menor a 3 puntos en todos los horizontes indica que el modelo generaliza de forma consistente entre los 8 folds de validación.</w:t>
      </w:r>
    </w:p>
    <w:p/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r="http://schemas.openxmlformats.org/officeDocument/2006/relationships"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Relationship Id="rId_en" Type="http://schemas.openxmlformats.org/officeDocument/2006/relationships/endnotes" Target="endnotes.xml"/>
<Relationship Id="rId_fn" Type="http://schemas.openxmlformats.org/officeDocument/2006/relationships/footnotes" Target="footnotes.xml"/>
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cap05_fig51.png"/><Relationship Id="rId33" Type="http://schemas.openxmlformats.org/officeDocument/2006/relationships/image" Target="media/cap05_fig55.png"/><Relationship Id="rId34" Type="http://schemas.openxmlformats.org/officeDocument/2006/relationships/image" Target="media/cap08_fig81.png"/><Relationship Id="rId35" Type="http://schemas.openxmlformats.org/officeDocument/2006/relationships/image" Target="media/cap08_fig83.png"/><Relationship Id="rId36" Type="http://schemas.openxmlformats.org/officeDocument/2006/relationships/image" Target="media/cap08_fig8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creator>Roberto Inza</dc:creator>
</cp:coreProperties>
</file>