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1</w:t>
      </w:r>
    </w:p>
    <w:p>
      <w:pPr>
        <w:spacing w:after="120" w:before="0"/>
      </w:pPr>
      <w:r>
        <w:rPr>
          <w:rFonts w:ascii="Arial" w:cs="Arial" w:eastAsia="Arial" w:hAnsi="Arial"/>
          <w:b/>
          <w:bCs/>
          <w:color w:val="1E3A5F"/>
          <w:sz w:val="36"/>
          <w:szCs w:val="36"/>
        </w:rPr>
        <w:t xml:space="preserve">Introducción</w:t>
      </w:r>
    </w:p>
    <w:p>
      <w:pPr>
        <w:spacing w:after="240" w:before="0"/>
      </w:pPr>
      <w:r>
        <w:rPr>
          <w:rFonts w:ascii="Arial" w:cs="Arial" w:eastAsia="Arial" w:hAnsi="Arial"/>
          <w:color w:val="6B7280"/>
          <w:sz w:val="18"/>
          <w:szCs w:val="18"/>
        </w:rPr>
        <w:t xml:space="preserve">Versión 12  ·  Mayo 2026</w:t>
      </w:r>
    </w:p>
    <w:p>
      <w:pPr>
        <w:pStyle w:val="Heading2"/>
        <w:spacing w:after="120" w:before="240"/>
      </w:pPr>
      <w:r>
        <w:rPr>
          <w:rFonts w:ascii="Arial" w:cs="Arial" w:eastAsia="Arial" w:hAnsi="Arial"/>
          <w:b/>
          <w:bCs/>
          <w:color w:val="1E3A5F"/>
          <w:sz w:val="28"/>
          <w:szCs w:val="28"/>
        </w:rPr>
        <w:t xml:space="preserve">1.1  Problema de investigación</w:t>
      </w:r>
    </w:p>
    <w:p>
      <w:pPr>
        <w:spacing w:after="80" w:before="80" w:line="276"/>
      </w:pPr>
      <w:r>
        <w:rPr>
          <w:rFonts w:ascii="Arial" w:cs="Arial" w:eastAsia="Arial" w:hAnsi="Arial"/>
          <w:sz w:val="22"/>
          <w:szCs w:val="22"/>
        </w:rPr>
        <w:t xml:space="preserve">El síndrome de apnea obstructiva del sueño (SAOS) es uno de los trastornos respiratorios más prevalentes en adultos, con una estimación de más de 900 millones de afectados a nivel global (Benjafield et al., 2019). Su diagnóstico y seguimiento dependen hoy de índices escalares —principalmente el AHI y el ODI3— que condensan la noche completa en un único valor resumen. Estos índices presentan tres limitaciones estructurales: no capturan la heterogeneidad morfológica de los eventos (dos eventos con igual duración pueden tener curvas de SpO₂ completamente distintas); no reflejan la respuesta autonómica individual a cada evento hipóxico; y no representan la organización dinámica temporal de la noche como secuencia de estados fisiológicos.</w:t>
      </w:r>
    </w:p>
    <w:p>
      <w:pPr>
        <w:spacing w:after="80" w:before="80" w:line="276"/>
      </w:pPr>
      <w:r>
        <w:rPr>
          <w:rFonts w:ascii="Arial" w:cs="Arial" w:eastAsia="Arial" w:hAnsi="Arial"/>
          <w:sz w:val="22"/>
          <w:szCs w:val="22"/>
        </w:rPr>
        <w:t xml:space="preserve">La disponibilidad de sensores portátiles domiciliarios —que registran SpO₂, FC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pPr>
        <w:pStyle w:val="Heading2"/>
        <w:spacing w:after="120" w:before="240"/>
      </w:pPr>
      <w:r>
        <w:rPr>
          <w:rFonts w:ascii="Arial" w:cs="Arial" w:eastAsia="Arial" w:hAnsi="Arial"/>
          <w:b/>
          <w:bCs/>
          <w:color w:val="1E3A5F"/>
          <w:sz w:val="28"/>
          <w:szCs w:val="28"/>
        </w:rPr>
        <w:t xml:space="preserve">1.2  Vinculación con el ámbito laboral</w:t>
      </w:r>
    </w:p>
    <w:p>
      <w:pPr>
        <w:spacing w:after="80" w:before="80" w:line="276"/>
      </w:pPr>
      <w:r>
        <w:rPr>
          <w:rFonts w:ascii="Arial" w:cs="Arial" w:eastAsia="Arial" w:hAnsi="Arial"/>
          <w:sz w:val="22"/>
          <w:szCs w:val="22"/>
        </w:rPr>
        <w:t xml:space="preserve">El monitoreo domiciliario nocturno mediante oximetría portátil es una herramienta habitual en la evaluación de pacientes con trastornos respiratorios del sueño en la práctica médica privada que motivó este proyecto. Sin embargo, la información disponible en los reportes estándar del dispositivo se limita a los índices agregados convencionales (ODI3, SpO₂ mínima, T90), sin acceso a la estructura morfológica de los eventos individuales ni a la dinámica temporal de la noche. Este trabajo propone una metodología para cerrar esa brecha: un pipeline estructurado y reproducible que transforma los registros crudos en representaciones multiescala con valor interpretativo clínico.</w:t>
      </w:r>
    </w:p>
    <w:p>
      <w:pPr>
        <w:pStyle w:val="Heading2"/>
        <w:spacing w:after="120" w:before="240"/>
      </w:pPr>
      <w:r>
        <w:rPr>
          <w:rFonts w:ascii="Arial" w:cs="Arial" w:eastAsia="Arial" w:hAnsi="Arial"/>
          <w:b/>
          <w:bCs/>
          <w:color w:val="1E3A5F"/>
          <w:sz w:val="28"/>
          <w:szCs w:val="28"/>
        </w:rPr>
        <w:t xml:space="preserve">1.3  Solución al problema identificado</w:t>
      </w:r>
    </w:p>
    <w:p>
      <w:pPr>
        <w:spacing w:after="80" w:before="80" w:line="276"/>
      </w:pPr>
      <w:r>
        <w:rPr>
          <w:rFonts w:ascii="Arial" w:cs="Arial" w:eastAsia="Arial" w:hAnsi="Arial"/>
          <w:sz w:val="22"/>
          <w:szCs w:val="22"/>
        </w:rPr>
        <w:t xml:space="preserve">El Proyecto de Análisis Continuo (PAC) propone un marco metodológico reproducible para el análisis multiescala de series temporales fisiológicas nocturnas adquiridas con el dispositivo SOMNI 6000. El pipeline PAC_v3 opera sobre tres niveles analíticos complementarios. En el nivel de evento, caracteriza morfológicamente cada EDO mediante K-means sobre la curva de SpO₂ normalizada (cinco morfotipos C1–C5) e introduce el Índice de Reactividad Autonómica (ARI) como segunda dimensión prácticamente independiente de la severidad hipóxica. En el nivel de noche, construye un sistema de estados dinámicos PAC a tres escalas temporales (S: 30 s; M: 5 min; L: 30 min) que representa la fisiología nocturna como trayectoria multiescala, con el objetivo de caracterizar su especialización funcional por dimensión fisiológica. En el nivel de paciente, los modelos predictivos LightGBM y la predicción prospectiva NB08 cierran el arco analítico con aplicaciones orientadas al dispositivo SOMNI 6000.</w:t>
      </w:r>
    </w:p>
    <w:p>
      <w:pPr>
        <w:spacing w:after="80" w:before="80" w:line="276"/>
      </w:pPr>
      <w:r>
        <w:rPr>
          <w:rFonts w:ascii="Arial" w:cs="Arial" w:eastAsia="Arial" w:hAnsi="Arial"/>
          <w:sz w:val="22"/>
          <w:szCs w:val="22"/>
        </w:rPr>
        <w:t xml:space="preserve">El marco se apoya en un protocolo clínico (CLP-275001 v1.2) y una cohorte de 12 pacientes con 560 noches in_quality. Los resultados se organizan en cuatro publicaciones en preparación (T1–T4) y una aplicación clínica interactiva (Cap07). La validación se realiza mediante LOPO-CV con n efectivo de 8–12 pacientes, reconociendo la no-independencia estadística entre noches del mismo individuo.</w:t>
      </w:r>
    </w:p>
    <w:p>
      <w:pPr>
        <w:pStyle w:val="Heading2"/>
        <w:spacing w:after="120" w:before="240"/>
      </w:pPr>
      <w:r>
        <w:rPr>
          <w:rFonts w:ascii="Arial" w:cs="Arial" w:eastAsia="Arial" w:hAnsi="Arial"/>
          <w:b/>
          <w:bCs/>
          <w:color w:val="1E3A5F"/>
          <w:sz w:val="28"/>
          <w:szCs w:val="28"/>
        </w:rPr>
        <w:t xml:space="preserve">1.4  Aplicaciones prácticas</w:t>
      </w:r>
    </w:p>
    <w:p>
      <w:pPr>
        <w:spacing w:after="80" w:before="80" w:line="276"/>
      </w:pPr>
      <w:r>
        <w:rPr>
          <w:rFonts w:ascii="Arial" w:cs="Arial" w:eastAsia="Arial" w:hAnsi="Arial"/>
          <w:sz w:val="22"/>
          <w:szCs w:val="22"/>
        </w:rPr>
        <w:t xml:space="preserve">Las aplicaciones del Proyecto PAC se organizan en tres planos. En el plano clínico, la herramienta interactiva (Cap07) permite analizar registros domiciliarios de forma sistemática, generando reportes con morfotipos, estados PAC, ARI e índice de riesgo integrado accesibles en flujo automatizado desde el archivo de registro. En el plano metodológico, PAC_v3 aborda desafíos propios de datos biomédicos reales —series largas, multivariadas, con alta variabilidad intraindividual y correlación temporal— mediante un pipeline modular, trazable y reproducible con contrato de datos explícito entre capas. En el plano científico, el marco permite generar métricas comparables, analizar variabilidad longitudinal y formular hipótesis sobre la fisiología del SAOS que los índices convencionales no alcanzan a capturar.</w:t>
      </w:r>
    </w:p>
    <w:p>
      <w:pPr>
        <w:pStyle w:val="Heading2"/>
        <w:spacing w:after="120" w:before="240"/>
      </w:pPr>
      <w:r>
        <w:rPr>
          <w:rFonts w:ascii="Arial" w:cs="Arial" w:eastAsia="Arial" w:hAnsi="Arial"/>
          <w:b/>
          <w:bCs/>
          <w:color w:val="1E3A5F"/>
          <w:sz w:val="28"/>
          <w:szCs w:val="28"/>
        </w:rPr>
        <w:t xml:space="preserve">1.5  Resumen de problemas y soluciones</w:t>
      </w:r>
    </w:p>
    <w:p>
      <w:pPr>
        <w:spacing w:before="80" w:after="80" w:line="276"/>
      </w:pPr>
      <w:r>
        <w:t xml:space="preserve">El Proyecto PAC articula seis pares problema–solución organizados en dos niveles. En el nivel de representación, los índices clásicos se complementan con fenotipado morfológico de EDOs (morfotipos C1–C5), el ARI como dimensión autonómica independiente de la frecuencia, y los PAC States a tres escalas (S/M/L) como trayectoria fisiológica dinámica de la noche. En el nivel de aplicación, el acoplamiento evento–estado cuantifica cómo el riesgo varía según el contexto fisiológico activo; la aplicación clínica interactiva traduce el pipeline en información accionable; y NB08 habilita la predicción prospectiva con margen temporal para intervención preventiva. La tabla detallada se encuentra en el Anexo de Material Suplementario.</w:t>
      </w:r>
    </w:p>
    <w:p>
      <w:pPr>
        <w:pStyle w:val="Heading2"/>
        <w:spacing w:before="240" w:after="120"/>
      </w:pPr>
      <w:r>
        <w:rPr>
          <w:b/>
          <w:sz w:val="28"/>
          <w:szCs w:val="28"/>
          <w:rFonts w:ascii="Arial" w:hAnsi="Arial"/>
          <w:color w:val="1E3A5F"/>
        </w:rPr>
        <w:t xml:space="preserve">1.6  Objetivo del trabajo</w:t>
      </w:r>
    </w:p>
    <w:p>
      <w:pPr>
        <w:spacing w:after="80" w:before="80" w:line="276"/>
      </w:pPr>
      <w:r>
        <w:t xml:space="preserve">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pPr>
        <w:spacing w:after="80" w:before="80" w:line="276"/>
      </w:pPr>
      <w:r>
        <w:t xml:space="preserve">Los objetivos específicos son: (1) implementar el pipeline PAC_v3 (Bronze→Silver→Events→Gold); (2) caracterizar morfológicamente los EDOs y definir el ARI; (3) desarrollar y validar los PAC States y demostrar su especialización funcional; (4) cuantificar el acoplamiento evento–estado y construir modelos predictivos con ablación por bloques; (5) desarrollar la aplicación clínica interactiva; (6) implementar y evaluar NB08 con validación LOPO-CV estricta.</w:t>
      </w:r>
    </w:p>
    <w:p>
      <w:pPr>
        <w:pStyle w:val="Heading2"/>
        <w:spacing w:after="120" w:before="240"/>
      </w:pPr>
      <w:r>
        <w:rPr>
          <w:rFonts w:ascii="Arial" w:cs="Arial" w:eastAsia="Arial" w:hAnsi="Arial"/>
          <w:b/>
          <w:bCs/>
          <w:color w:val="1E3A5F"/>
          <w:sz w:val="28"/>
          <w:szCs w:val="28"/>
        </w:rPr>
        <w:t xml:space="preserve">1.7  Transferencia de los resultados obtenidos</w:t>
      </w:r>
    </w:p>
    <w:p>
      <w:pPr>
        <w:spacing w:after="80" w:before="80" w:line="276"/>
      </w:pPr>
      <w:r>
        <w:rPr>
          <w:rFonts w:ascii="Arial" w:cs="Arial" w:eastAsia="Arial" w:hAnsi="Arial"/>
          <w:sz w:val="22"/>
          <w:szCs w:val="22"/>
        </w:rPr>
        <w:t xml:space="preserve">Los resultados se transfieren en tres direcciones. En la práctica médica privada que motivó el proyecto, el pipeline y la aplicación interactiva quedan disponibles como herramientas de análisis reproducible de registros domiciliarios. En el plano científico, los resultados se organizan en cuatro publicaciones: T1 (fenotipado morfológico y ARI), T2 (PAC States multiescala), T3 (acoplamiento y modelos predictivos) y T4 (predicción prospectiva con lead time clínico). Las tres primeras están en preparación avanzada; T4 en preparación.</w:t>
      </w:r>
    </w:p>
    <w:p>
      <w:pPr>
        <w:spacing w:after="80" w:before="80" w:line="276"/>
      </w:pPr>
      <w:r>
        <w:rPr>
          <w:rFonts w:ascii="Arial" w:cs="Arial" w:eastAsia="Arial" w:hAnsi="Arial"/>
          <w:sz w:val="22"/>
          <w:szCs w:val="22"/>
        </w:rPr>
        <w:t xml:space="preserve">Desde el punto de vista metodológico, PAC_v3 constituye un repositorio documentado, modular y trazable, con pruebas automatizadas, trazabilidad de versiones y contratos de datos explícitos entre capas. Esta arquitectura lo hace extensible a otras cohortes, dispositivos y resoluciones temporales sin requerir rediseño del pipeline completo.</w:t>
      </w:r>
    </w:p>
    <w:p>
      <w:pPr>
        <w:pStyle w:val="Heading2"/>
        <w:spacing w:after="120" w:before="240"/>
      </w:pPr>
      <w:r>
        <w:rPr>
          <w:rFonts w:ascii="Arial" w:cs="Arial" w:eastAsia="Arial" w:hAnsi="Arial"/>
          <w:b/>
          <w:bCs/>
          <w:color w:val="1E3A5F"/>
          <w:sz w:val="28"/>
          <w:szCs w:val="28"/>
        </w:rPr>
        <w:t xml:space="preserve">1.8  Técnicas de ciencia de datos y aprendizaje automático aplicadas</w:t>
      </w:r>
    </w:p>
    <w:p>
      <w:pPr>
        <w:spacing w:after="80" w:before="80" w:line="276"/>
      </w:pPr>
      <w:r>
        <w:rPr>
          <w:rFonts w:ascii="Arial" w:cs="Arial" w:eastAsia="Arial" w:hAnsi="Arial"/>
          <w:sz w:val="22"/>
          <w:szCs w:val="22"/>
        </w:rPr>
        <w:t xml:space="preserve">El trabajo integra métodos estadísticos (ICC, Spearman, V de Cramér, calibración, bootstrap), de aprendizaje no supervisado (K-means, PCA, Silhouette, clustering de trayectorias), modelos dinámicos (cadenas de Markov), series temporales (acoplamiento temporal, ventanas deslizantes), aprendizaje supervisado (LightGBM, regresión logística, random forest) y evaluación de modelos (LOPO-CV, ROC/PR, SHAP, ablación). La tabla detallada con el rol de cada técnica por capítulo se encuentra en el Anexo de Material Suplementario.</w:t>
      </w:r>
    </w:p>
    <w:p>
      <w:pPr>
        <w:spacing w:after="80" w:before="40"/>
      </w:pPr>
      <w:r>
        <w:rPr>
          <w:rFonts w:ascii="Arial" w:cs="Arial" w:eastAsia="Arial" w:hAnsi="Arial"/>
          <w:color w:val="555555"/>
          <w:sz w:val="18"/>
          <w:szCs w:val="18"/>
        </w:rPr>
        <w:t xml:space="preserve">▸ Tabla complementaria en Anexo Suplementario: Tabla 1.8 (técnicas de ciencia de datos y aprendizaje automático aplicadas, con rol en el proyecto y capítulos de referencia).</w:t>
      </w:r>
    </w:p>
    <w:p>
      <w:pPr>
        <w:pStyle w:val="Heading2"/>
        <w:spacing w:after="120" w:before="240"/>
      </w:pPr>
      <w:r>
        <w:rPr>
          <w:rFonts w:ascii="Arial" w:cs="Arial" w:eastAsia="Arial" w:hAnsi="Arial"/>
          <w:b/>
          <w:bCs/>
          <w:color w:val="1E3A5F"/>
          <w:sz w:val="28"/>
          <w:szCs w:val="28"/>
        </w:rPr>
        <w:t xml:space="preserve">1.9  Estructura general del trabajo</w:t>
      </w:r>
    </w:p>
    <w:p>
      <w:pPr>
        <w:spacing w:after="80" w:before="80" w:line="276"/>
      </w:pPr>
      <w:r>
        <w:rPr>
          <w:rFonts w:ascii="Arial" w:cs="Arial" w:eastAsia="Arial" w:hAnsi="Arial"/>
          <w:sz w:val="22"/>
          <w:szCs w:val="22"/>
        </w:rPr>
        <w:t xml:space="preserve">El trabajo se organiza en diez capítulos. El Capítulo 2 presenta el marco teórico: fundamentos clínicos del SAOS, monitoreo domiciliario, análisis de series temporales fisiológicas y métodos de aprendizaje automático en señales biomédicas. El Capítulo 3 describe materiales y métodos: la cohorte, el SOMNI 6000, el pipeline PAC_v3 y la estrategia de validación estadística.</w:t>
      </w:r>
    </w:p>
    <w:p>
      <w:pPr>
        <w:spacing w:after="80" w:before="80" w:line="276"/>
      </w:pPr>
      <w:r>
        <w:rPr>
          <w:rFonts w:ascii="Arial" w:cs="Arial" w:eastAsia="Arial" w:hAnsi="Arial"/>
          <w:sz w:val="22"/>
          <w:szCs w:val="22"/>
        </w:rPr>
        <w:t xml:space="preserve">Los capítulos de resultados siguen el arco evento→noche→paciente→prospectivo. El Capítulo 4 aborda el fenotipado morfológico de EDOs y el ARI. El Capítulo 5 introduce los PAC States multiescala y su especialización funcional. El Capítulo 6 integra morfotipos y estados para cuantificar el acoplamiento, construir modelos predictivos y definir el Risk Score PAC. El Capítulo 7 describe la aplicación clínica interactiva. El Capítulo 8 extiende el marco al dominio prospectivo con el módulo NB08.</w:t>
      </w:r>
    </w:p>
    <w:p>
      <w:pPr>
        <w:spacing w:after="80" w:before="80" w:line="276"/>
      </w:pPr>
      <w:r>
        <w:rPr>
          <w:rFonts w:ascii="Arial" w:cs="Arial" w:eastAsia="Arial" w:hAnsi="Arial"/>
          <w:sz w:val="22"/>
          <w:szCs w:val="22"/>
        </w:rPr>
        <w:t xml:space="preserve">El Capítulo 9 sitúa el trabajo en la literatura existente, discutiendo enfoques previos en fenotipado de SAOS, oximetría domiciliaria y predicción de eventos. El Capítulo 10 sintetiza las conclusiones, presenta las contribuciones principales en sus dimensiones metodológica, clínica y científica, y señala las líneas de trabajo futuro.</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2 — Marco Teórico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1 — Introducción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2026-05-30T17:11:17.248Z</dcterms:created>
  <dcterms:modified xsi:type="dcterms:W3CDTF">2026-05-30T17:11:17.248Z</dcterms:modified>
</cp:coreProperties>
</file>

<file path=docProps/custom.xml><?xml version="1.0" encoding="utf-8"?>
<Properties xmlns="http://schemas.openxmlformats.org/officeDocument/2006/custom-properties" xmlns:vt="http://schemas.openxmlformats.org/officeDocument/2006/docPropsVTypes"/>
</file>