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728F3" w14:textId="77777777" w:rsidR="0062688A" w:rsidRDefault="00000000">
      <w:pPr>
        <w:spacing w:after="40"/>
      </w:pPr>
      <w:r>
        <w:rPr>
          <w:b/>
          <w:bCs/>
          <w:caps/>
          <w:color w:val="6B7280"/>
          <w:sz w:val="20"/>
          <w:szCs w:val="20"/>
        </w:rPr>
        <w:t>CAPÍTULO 1</w:t>
      </w:r>
    </w:p>
    <w:p w14:paraId="2D5AD08A" w14:textId="77777777" w:rsidR="0062688A" w:rsidRDefault="00000000">
      <w:pPr>
        <w:spacing w:after="80"/>
      </w:pPr>
      <w:r>
        <w:rPr>
          <w:b/>
          <w:bCs/>
          <w:color w:val="1E3A5F"/>
          <w:sz w:val="36"/>
          <w:szCs w:val="36"/>
        </w:rPr>
        <w:t>Introducción</w:t>
      </w:r>
    </w:p>
    <w:p w14:paraId="0FFF04F1" w14:textId="77777777" w:rsidR="0062688A" w:rsidRDefault="00000000">
      <w:pPr>
        <w:pBdr>
          <w:bottom w:val="single" w:sz="6" w:space="0" w:color="1E3A5F"/>
        </w:pBdr>
        <w:spacing w:after="400"/>
      </w:pPr>
      <w:r>
        <w:rPr>
          <w:i/>
          <w:iCs/>
          <w:color w:val="6B7280"/>
          <w:sz w:val="18"/>
          <w:szCs w:val="18"/>
        </w:rPr>
        <w:t>Versión 03  ·  Mayo 2026</w:t>
      </w:r>
    </w:p>
    <w:p w14:paraId="456D5DFA" w14:textId="77777777" w:rsidR="0062688A" w:rsidRDefault="00000000">
      <w:pPr>
        <w:pStyle w:val="Ttulo2"/>
      </w:pPr>
      <w:r>
        <w:t>1.1 Problema de investigación</w:t>
      </w:r>
    </w:p>
    <w:p w14:paraId="0FBB2427" w14:textId="4039677F" w:rsidR="0062688A" w:rsidRDefault="00000000">
      <w:pPr>
        <w:spacing w:after="160"/>
        <w:ind w:firstLine="720"/>
        <w:jc w:val="both"/>
      </w:pPr>
      <w:r>
        <w:t xml:space="preserve">El síndrome de apnea obstructiva del sueño </w:t>
      </w:r>
      <w:r w:rsidR="00123B9A">
        <w:t xml:space="preserve">(SAOS) </w:t>
      </w:r>
      <w:r>
        <w:t xml:space="preserve">es uno de los trastornos respiratorios más prevalentes en la población adulta y, al mismo tiempo, uno de los más subdiagnosticados. Su evaluación clínica se apoya habitualmente en índices agregados derivados de estudios de sueño, como el índice de apnea-hipopnea </w:t>
      </w:r>
      <w:r w:rsidR="00123B9A">
        <w:t xml:space="preserve">(AHI) </w:t>
      </w:r>
      <w:r>
        <w:t>y el índice de desaturación de oxígeno</w:t>
      </w:r>
      <w:r w:rsidR="00123B9A">
        <w:t xml:space="preserve"> (ODI)</w:t>
      </w:r>
      <w:r w:rsidR="00CA63B0">
        <w:t xml:space="preserve">, </w:t>
      </w:r>
      <w:r w:rsidR="00CA63B0" w:rsidRPr="00CA63B0">
        <w:rPr>
          <w:color w:val="EE0000"/>
        </w:rPr>
        <w:t>tiempo con saturación por debajo de un umbral</w:t>
      </w:r>
      <w:r w:rsidR="00CA63B0" w:rsidRPr="00CA63B0">
        <w:rPr>
          <w:color w:val="EE0000"/>
        </w:rPr>
        <w:t xml:space="preserve"> (T90)</w:t>
      </w:r>
      <w:r w:rsidRPr="00CA63B0">
        <w:rPr>
          <w:color w:val="EE0000"/>
        </w:rPr>
        <w:t>, cuya</w:t>
      </w:r>
      <w:r w:rsidR="00CA63B0" w:rsidRPr="00CA63B0">
        <w:rPr>
          <w:color w:val="EE0000"/>
        </w:rPr>
        <w:t>s</w:t>
      </w:r>
      <w:r w:rsidRPr="00CA63B0">
        <w:rPr>
          <w:color w:val="EE0000"/>
        </w:rPr>
        <w:t xml:space="preserve"> definici</w:t>
      </w:r>
      <w:r w:rsidR="00CA63B0" w:rsidRPr="00CA63B0">
        <w:rPr>
          <w:color w:val="EE0000"/>
        </w:rPr>
        <w:t>o</w:t>
      </w:r>
      <w:r w:rsidRPr="00CA63B0">
        <w:rPr>
          <w:color w:val="EE0000"/>
        </w:rPr>
        <w:t>n</w:t>
      </w:r>
      <w:r w:rsidR="00CA63B0" w:rsidRPr="00CA63B0">
        <w:rPr>
          <w:color w:val="EE0000"/>
        </w:rPr>
        <w:t>es</w:t>
      </w:r>
      <w:r w:rsidRPr="00CA63B0">
        <w:rPr>
          <w:color w:val="EE0000"/>
        </w:rPr>
        <w:t xml:space="preserve"> ha</w:t>
      </w:r>
      <w:r w:rsidR="00CA63B0" w:rsidRPr="00CA63B0">
        <w:rPr>
          <w:color w:val="EE0000"/>
        </w:rPr>
        <w:t>n</w:t>
      </w:r>
      <w:r w:rsidRPr="00CA63B0">
        <w:rPr>
          <w:color w:val="EE0000"/>
        </w:rPr>
        <w:t xml:space="preserve"> sido estandarizada</w:t>
      </w:r>
      <w:r w:rsidR="00CA63B0" w:rsidRPr="00CA63B0">
        <w:rPr>
          <w:color w:val="EE0000"/>
        </w:rPr>
        <w:t>s</w:t>
      </w:r>
      <w:r w:rsidRPr="00CA63B0">
        <w:rPr>
          <w:color w:val="EE0000"/>
        </w:rPr>
        <w:t xml:space="preserve"> por consensos internacionales de la especialidad. </w:t>
      </w:r>
      <w:r>
        <w:t>Estos indicadores condensan en un único valor resumen la actividad respiratoria de una noche completa, lo que los hace útiles para la clasificación inicial del paciente pero insuficientes para describir la complejidad del fenómeno.</w:t>
      </w:r>
    </w:p>
    <w:p w14:paraId="1966A7F7" w14:textId="77777777" w:rsidR="0062688A" w:rsidRDefault="00000000">
      <w:pPr>
        <w:spacing w:after="160"/>
        <w:ind w:firstLine="720"/>
        <w:jc w:val="both"/>
      </w:pPr>
      <w:r>
        <w:t>La limitación principal de estos índices reside en que no capturan la dinámica temporal de los eventos respiratorios ni la heterogeneidad intranoche. Un mismo valor del índice de desaturación puede corresponder a noches con perfiles fisiológicos muy distintos: una noche con pocos eventos de gran profundidad y duración difiere sustancialmente de otra con muchos eventos superficiales y breves, aun cuando ambas produzcan idénticos valores en el índice de frecuencia. Esta simplificación condiciona la comprensión de la variabilidad clínica del síndrome y restringe la exploración de fenotipos y patrones fisiológicos latentes que los índices clásicos, por construcción, no pueden revelar.</w:t>
      </w:r>
    </w:p>
    <w:p w14:paraId="12466043" w14:textId="645847B3" w:rsidR="0062688A" w:rsidRDefault="00000000">
      <w:pPr>
        <w:spacing w:after="160"/>
        <w:ind w:firstLine="720"/>
        <w:jc w:val="both"/>
      </w:pPr>
      <w:r>
        <w:t xml:space="preserve">En paralelo, la creciente disponibilidad de sensores portátiles domiciliarios ha permitido registrar de forma continua variables fisiológicas </w:t>
      </w:r>
      <w:r w:rsidR="00123B9A">
        <w:t>(</w:t>
      </w:r>
      <w:r>
        <w:t>saturación de oxígeno</w:t>
      </w:r>
      <w:r w:rsidR="00123B9A">
        <w:t xml:space="preserve"> (SpO2), </w:t>
      </w:r>
      <w:r>
        <w:t xml:space="preserve">frecuencia cardíaca </w:t>
      </w:r>
      <w:r w:rsidR="00123B9A">
        <w:t xml:space="preserve">(FC) </w:t>
      </w:r>
      <w:r>
        <w:t>y movimiento corporal</w:t>
      </w:r>
      <w:r w:rsidR="00123B9A">
        <w:t xml:space="preserve"> (Mov)</w:t>
      </w:r>
      <w:r>
        <w:t xml:space="preserve"> durante el sueño, fuera del laboratorio y a lo largo de múltiples noches consecutivas. Estos registros generan series temporales multivariadas de alta resolución que contienen información densa sobre la fisiología nocturna. Su análisis, sin embargo, se ve dificultado por la presencia de ruido, artefactos de señal y por la ausencia de marcos metodológicos estandarizados que permitan explotar esa información más allá de los resúmenes escalares convencionales.</w:t>
      </w:r>
    </w:p>
    <w:p w14:paraId="30E7A04A" w14:textId="75612F7F" w:rsidR="0062688A" w:rsidRDefault="00000000">
      <w:pPr>
        <w:spacing w:after="160"/>
        <w:ind w:firstLine="720"/>
        <w:jc w:val="both"/>
      </w:pPr>
      <w:r>
        <w:t>El problema central que motiva este trabajo es, en consecuencia, doble: la necesidad metodológica de desarrollar herramientas reproducibles para el análisis estructurado de series temporales fisiológicas nocturnas</w:t>
      </w:r>
      <w:r w:rsidR="00123B9A">
        <w:t xml:space="preserve">, </w:t>
      </w:r>
      <w:r>
        <w:t>desde la detección de eventos individuales de desaturación hasta la identificación de patrones dinámicos que organizan la noche como un todo</w:t>
      </w:r>
      <w:r w:rsidR="00123B9A">
        <w:t>,</w:t>
      </w:r>
      <w:r>
        <w:t xml:space="preserve"> y la necesidad clínica de transformar esa información en representaciones interpretables que sean de utilidad práctica en la evaluación y seguimiento de pacientes.</w:t>
      </w:r>
    </w:p>
    <w:p w14:paraId="40FD0855" w14:textId="77777777" w:rsidR="0062688A" w:rsidRDefault="00000000">
      <w:pPr>
        <w:pStyle w:val="Ttulo2"/>
      </w:pPr>
      <w:r>
        <w:t>1.2 Vinculación con el ámbito laboral</w:t>
      </w:r>
    </w:p>
    <w:p w14:paraId="4635695D" w14:textId="77777777" w:rsidR="0062688A" w:rsidRDefault="00000000">
      <w:pPr>
        <w:spacing w:after="160"/>
        <w:ind w:firstLine="720"/>
        <w:jc w:val="both"/>
      </w:pPr>
      <w:r w:rsidRPr="00427CBD">
        <w:rPr>
          <w:strike/>
          <w:color w:val="EE0000"/>
        </w:rPr>
        <w:t>La motivación concreta de este proyecto nace de una tensión observada en la práctica médica privada dedicada a la evaluación de pacientes con trastornos respiratorios del sueño.</w:t>
      </w:r>
      <w:r w:rsidRPr="00CA63B0">
        <w:rPr>
          <w:color w:val="EE0000"/>
        </w:rPr>
        <w:t xml:space="preserve"> </w:t>
      </w:r>
      <w:r>
        <w:t>El monitoreo domiciliario nocturno mediante oximetría portátil es una herramienta de uso habitual en ese contexto: permite obtener registros continuos de saturación de oxígeno, frecuencia cardíaca y movimiento en condiciones reales de vida del paciente, a lo largo de múltiples noches consecutivas y sin las restricciones logísticas del laboratorio de sueño. Sin embargo, los dispositivos disponibles reducen automáticamente toda esa riqueza temporal a unos pocos índices agregados</w:t>
      </w:r>
      <w:r w:rsidRPr="00427CBD">
        <w:rPr>
          <w:strike/>
          <w:color w:val="EE0000"/>
        </w:rPr>
        <w:t xml:space="preserve">: el médico recibe el índice de apnea-hipopnea, el índice de desaturación y el tiempo con saturación </w:t>
      </w:r>
      <w:r w:rsidRPr="00427CBD">
        <w:rPr>
          <w:strike/>
          <w:color w:val="EE0000"/>
        </w:rPr>
        <w:lastRenderedPageBreak/>
        <w:t>por debajo de un umbral, y poco más</w:t>
      </w:r>
      <w:r w:rsidRPr="00427CBD">
        <w:rPr>
          <w:strike/>
        </w:rPr>
        <w:t>.</w:t>
      </w:r>
      <w:r>
        <w:t xml:space="preserve"> La información sobre la morfología de cada evento, su distribución temporal durante la noche, la respuesta autonómica frente a cada episodio hipóxico o la dinámica de recuperación entre eventos permanece enterrada en la señal cruda y no se explota analíticamente.</w:t>
      </w:r>
    </w:p>
    <w:p w14:paraId="0A17EF61" w14:textId="00F69AE0" w:rsidR="0062688A" w:rsidRDefault="00000000">
      <w:pPr>
        <w:spacing w:after="160"/>
        <w:ind w:firstLine="720"/>
        <w:jc w:val="both"/>
      </w:pPr>
      <w:r>
        <w:t>Desde esta experiencia concreta, el trabajo busca aportar una metodología que cierre esa brecha: un pipeline de análisis estructurado y reproducible que transforme los registros domiciliarios en representaciones ricas de la fisiología nocturna, acompañado de una herramienta interactiva que ponga esas representaciones al alcance del médico en su práctica cotidiana. El horizonte de aplicación no se limita al contexto individual: la metodología está diseñada para ser extensible a estudios multicéntricos y escalable a cohortes de mayor tamaño</w:t>
      </w:r>
      <w:r w:rsidR="00427CBD">
        <w:t xml:space="preserve"> </w:t>
      </w:r>
      <w:r w:rsidR="00427CBD">
        <w:rPr>
          <w:color w:val="EE0000"/>
        </w:rPr>
        <w:t>y aún análisis en tiempo real</w:t>
      </w:r>
      <w:r w:rsidR="00427CBD">
        <w:t>;</w:t>
      </w:r>
      <w:r>
        <w:t xml:space="preserve"> contribuyendo al avance del conocimiento en el análisis de trastornos del sueño basado en datos.</w:t>
      </w:r>
    </w:p>
    <w:p w14:paraId="53470081" w14:textId="77777777" w:rsidR="0062688A" w:rsidRDefault="00000000">
      <w:pPr>
        <w:pStyle w:val="Ttulo2"/>
      </w:pPr>
      <w:r>
        <w:t>1.3 Solución al problema identificado</w:t>
      </w:r>
    </w:p>
    <w:p w14:paraId="65EB2B67" w14:textId="368B6AC5" w:rsidR="0062688A" w:rsidRDefault="00000000">
      <w:pPr>
        <w:spacing w:after="160"/>
        <w:ind w:firstLine="720"/>
        <w:jc w:val="both"/>
      </w:pPr>
      <w:r>
        <w:t xml:space="preserve">El Proyecto de Análisis Continuo (PAC) propone el desarrollo de un marco metodológico reproducible para el análisis multiescala de series temporales fisiológicas nocturnas adquiridas mediante sensores portátiles domiciliarios. La solución se basa en el análisis directo de las señales continuas de saturación de oxígeno, frecuencia cardíaca y movimiento corporal, registradas con alta resolución temporal, aplicando técnicas propias de la Ciencia de Datos y del análisis de señales biomédicas. El pipeline resultante, denominado </w:t>
      </w:r>
      <w:r w:rsidRPr="0037714D">
        <w:rPr>
          <w:b/>
          <w:bCs/>
          <w:color w:val="EE0000"/>
        </w:rPr>
        <w:t>PAC_v</w:t>
      </w:r>
      <w:r w:rsidR="0037714D" w:rsidRPr="0037714D">
        <w:rPr>
          <w:b/>
          <w:bCs/>
          <w:color w:val="EE0000"/>
        </w:rPr>
        <w:t>3</w:t>
      </w:r>
      <w:r>
        <w:t>, transforma registros crudos en representaciones estructuradas y trazables a través de cuatro zonas de procesamiento —Bronze, Silver, Eventos y Gold— que cubren desde la canonización de la señal hasta la generación de tablas consolidadas listas para el análisis y el modelado.</w:t>
      </w:r>
    </w:p>
    <w:p w14:paraId="09ED06C2" w14:textId="766EFAA4" w:rsidR="0062688A" w:rsidRDefault="00000000">
      <w:pPr>
        <w:spacing w:after="160"/>
        <w:ind w:firstLine="720"/>
        <w:jc w:val="both"/>
      </w:pPr>
      <w:r>
        <w:t xml:space="preserve">El enfoque se articula en una arquitectura analítica progresiva que avanza desde los eventos individuales hacia la estructura global de la noche. En primer lugar, se define y caracteriza el Evento de Desaturación de Oxígeno (EDO) como unidad fisiológica elemental: la curva completa de cada evento es analizada mediante agrupamiento no supervisado, identificando cinco morfotipos reproducibles </w:t>
      </w:r>
      <w:r w:rsidR="0037714D">
        <w:t>(</w:t>
      </w:r>
      <w:r>
        <w:t>C1 a C5</w:t>
      </w:r>
      <w:r w:rsidR="0037714D">
        <w:t>)</w:t>
      </w:r>
      <w:r>
        <w:t xml:space="preserve"> que difieren en profundidad, duración, dinámica de recuperación y carga hipóxica acumulada. A esta caracterización morfológica se suma </w:t>
      </w:r>
      <w:r w:rsidR="0037714D">
        <w:rPr>
          <w:color w:val="EE0000"/>
        </w:rPr>
        <w:t>el desarrollo d</w:t>
      </w:r>
      <w:r>
        <w:t>el Índice de Respuesta Autonómica (ARI), que cuantifica la eficiencia de la respuesta cardíaca frente a la caída de saturación e introduce una dimensión fisiológica independiente de los índices clásicos de severidad.</w:t>
      </w:r>
    </w:p>
    <w:p w14:paraId="6528E903" w14:textId="1180B535" w:rsidR="0062688A" w:rsidRDefault="00000000">
      <w:pPr>
        <w:spacing w:after="160"/>
        <w:ind w:firstLine="720"/>
        <w:jc w:val="both"/>
      </w:pPr>
      <w:r>
        <w:t>En segundo lugar, el marco incorpora un sistema de estados dinámicos</w:t>
      </w:r>
      <w:r w:rsidR="00704613">
        <w:t xml:space="preserve">, </w:t>
      </w:r>
      <w:r>
        <w:t>denominados estados PAC</w:t>
      </w:r>
      <w:r w:rsidR="00704613">
        <w:t>,</w:t>
      </w:r>
      <w:r>
        <w:t xml:space="preserve"> que modela la estructura temporal de la noche a tres escalas simultáneas: corta, media y larga. Cada escala captura fenómenos fisiológicos diferentes y complementarios, desde la reactividad inmediata ante un evento hasta el contexto fisiológico global de la noche. La combinación de morfotipos de eventos con estados dinámicos permite describir no sólo qué ocurre durante la noche, sino cuándo ocurre, en qué contexto fisiológico y con qué consecuencias para el organismo.</w:t>
      </w:r>
    </w:p>
    <w:p w14:paraId="6D7FFC31" w14:textId="77777777" w:rsidR="0062688A" w:rsidRDefault="00000000">
      <w:pPr>
        <w:spacing w:after="160"/>
        <w:ind w:firstLine="720"/>
        <w:jc w:val="both"/>
      </w:pPr>
      <w:r>
        <w:t>Sobre esta base representacional se construyen modelos de predicción que permiten anticipar la severidad de los eventos y estimar el riesgo nocturno del paciente. El marco culmina en una aplicación clínica interactiva que ejecuta todo el pipeline de inferencia sobre un registro domiciliario nuevo y devuelve al médico un análisis completo: morfotipos de eventos, estados PAC, índice de riesgo integrado e informe generado con asistencia de inteligencia artificial. El último componente extiende la capacidad predictiva al dominio prospectivo: dada la actividad fisiológica reciente del paciente, el sistema estima si ocurrirá un evento severo en los próximos minutos, abriendo la puerta a intervenciones terapéuticas preventivas como la estimulación transcutánea.</w:t>
      </w:r>
    </w:p>
    <w:p w14:paraId="61FAD76A" w14:textId="77777777" w:rsidR="0062688A" w:rsidRDefault="00000000">
      <w:pPr>
        <w:pStyle w:val="Ttulo2"/>
      </w:pPr>
      <w:r>
        <w:lastRenderedPageBreak/>
        <w:t>1.4 Aplicaciones prácticas</w:t>
      </w:r>
    </w:p>
    <w:p w14:paraId="6F26E1D6" w14:textId="77777777" w:rsidR="0062688A" w:rsidRDefault="00000000">
      <w:pPr>
        <w:spacing w:after="160"/>
        <w:ind w:firstLine="720"/>
        <w:jc w:val="both"/>
      </w:pPr>
      <w:r>
        <w:t>Las aplicaciones del Proyecto de Análisis Continuo se proyectan en tres planos complementarios: el clínico, el metodológico y el científico.</w:t>
      </w:r>
    </w:p>
    <w:p w14:paraId="41B2B0E6" w14:textId="77777777" w:rsidR="0062688A" w:rsidRDefault="00000000">
      <w:pPr>
        <w:spacing w:after="160"/>
        <w:ind w:firstLine="720"/>
        <w:jc w:val="both"/>
      </w:pPr>
      <w:r>
        <w:t>En el plano clínico, la herramienta interactiva desarrollada permite al médico analizar registros domiciliarios de forma sistemática y reproducible, obteniendo información morfológica, dinámica y predictiva que los reportes convencionales del dispositivo no proveen. La visualización de morfotipos, estados PAC y el índice de riesgo integrado facilita la comprensión del perfil fisiológico individual del paciente, apoya la toma de decisiones terapéuticas y permite el seguimiento longitudinal noche a noche. En el horizonte de mayor impacto clínico, la predicción prospectiva abre la posibilidad de activar dispositivos de estimulación transcutánea con antelación suficiente para prevenir o atenuar los eventos hipóxicos más severos, transitando desde el análisis retrospectivo hacia una medicina del sueño activa y personalizada.</w:t>
      </w:r>
    </w:p>
    <w:p w14:paraId="7F393F71" w14:textId="31B191D3" w:rsidR="0062688A" w:rsidRDefault="00000000">
      <w:pPr>
        <w:spacing w:after="160"/>
        <w:ind w:firstLine="720"/>
        <w:jc w:val="both"/>
      </w:pPr>
      <w:r>
        <w:t xml:space="preserve">En el plano metodológico, el pipeline </w:t>
      </w:r>
      <w:r w:rsidRPr="008F132E">
        <w:rPr>
          <w:color w:val="EE0000"/>
        </w:rPr>
        <w:t>PAC_v</w:t>
      </w:r>
      <w:r w:rsidR="008F132E" w:rsidRPr="008F132E">
        <w:rPr>
          <w:color w:val="EE0000"/>
        </w:rPr>
        <w:t>3</w:t>
      </w:r>
      <w:r>
        <w:t xml:space="preserve"> constituye un caso de estudio representativo de los desafíos del análisis de datos biomédicos reales: series temporales largas, multivariadas, no estacionarias y con estructura longitudinal compleja. </w:t>
      </w:r>
      <w:r w:rsidRPr="008F132E">
        <w:t>La metodología desarrollada</w:t>
      </w:r>
      <w:r w:rsidR="008F132E" w:rsidRPr="008F132E">
        <w:t xml:space="preserve">, </w:t>
      </w:r>
      <w:r w:rsidRPr="008F132E">
        <w:t>que incluye control de calidad de señal, definición explícita de eventos, fenotipado no supervisado, modelado multiescala y validación estricta</w:t>
      </w:r>
      <w:r w:rsidR="008F132E" w:rsidRPr="008F132E">
        <w:t>,</w:t>
      </w:r>
      <w:r w:rsidRPr="008F132E">
        <w:t xml:space="preserve"> es transferible a otros dominios de monitoreo continuo en salud y puede adaptarse a registros con mayor riqueza de señales, como la polisomnografía completa o el electrocardiograma de larga duración.</w:t>
      </w:r>
    </w:p>
    <w:p w14:paraId="5243D4BA" w14:textId="77777777" w:rsidR="0062688A" w:rsidRPr="00E82F55" w:rsidRDefault="00000000">
      <w:pPr>
        <w:spacing w:after="160"/>
        <w:ind w:firstLine="720"/>
        <w:jc w:val="both"/>
        <w:rPr>
          <w:strike/>
          <w:color w:val="EE0000"/>
        </w:rPr>
      </w:pPr>
      <w:r>
        <w:t xml:space="preserve">En el plano científico, el marco propuesto habilita la generación de métricas comparables entre estudios, el análisis de variabilidad longitudinal intraindividual y la formulación de hipótesis sobre la heterogeneidad fisiopatológica del síndrome. </w:t>
      </w:r>
      <w:r w:rsidRPr="00E82F55">
        <w:rPr>
          <w:strike/>
          <w:color w:val="EE0000"/>
        </w:rPr>
        <w:t>Los resultados se organizan en un marco de cuatro publicaciones científicas, el primero de los cuales —dedicado al fenotipado morfológico y al Índice de Respuesta Autonómica— se encuentra en preparación para envío a revista indexada.</w:t>
      </w:r>
    </w:p>
    <w:p w14:paraId="0F44B505" w14:textId="77777777" w:rsidR="0062688A" w:rsidRDefault="00000000">
      <w:pPr>
        <w:pStyle w:val="Ttulo2"/>
      </w:pPr>
      <w:r>
        <w:t>1.5 Resumen de problemas y soluciones</w:t>
      </w:r>
    </w:p>
    <w:p w14:paraId="59E1454D" w14:textId="77777777" w:rsidR="0062688A" w:rsidRDefault="0062688A">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226"/>
      </w:tblGrid>
      <w:tr w:rsidR="0062688A" w14:paraId="12E9F719" w14:textId="77777777">
        <w:tblPrEx>
          <w:tblCellMar>
            <w:top w:w="0" w:type="dxa"/>
            <w:bottom w:w="0" w:type="dxa"/>
          </w:tblCellMar>
        </w:tblPrEx>
        <w:trPr>
          <w:tblHeader/>
        </w:trPr>
        <w:tc>
          <w:tcPr>
            <w:tcW w:w="3800"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322C7590" w14:textId="77777777" w:rsidR="0062688A" w:rsidRDefault="00000000">
            <w:pPr>
              <w:jc w:val="center"/>
            </w:pPr>
            <w:r>
              <w:rPr>
                <w:b/>
                <w:bCs/>
                <w:color w:val="1E3A5F"/>
                <w:sz w:val="20"/>
                <w:szCs w:val="20"/>
              </w:rPr>
              <w:t>Problema identificado</w:t>
            </w:r>
          </w:p>
        </w:tc>
        <w:tc>
          <w:tcPr>
            <w:tcW w:w="5226"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6EA6DFF0" w14:textId="77777777" w:rsidR="0062688A" w:rsidRDefault="00000000">
            <w:pPr>
              <w:jc w:val="center"/>
            </w:pPr>
            <w:r>
              <w:rPr>
                <w:b/>
                <w:bCs/>
                <w:color w:val="1E3A5F"/>
                <w:sz w:val="20"/>
                <w:szCs w:val="20"/>
              </w:rPr>
              <w:t>Solución propuesta</w:t>
            </w:r>
          </w:p>
        </w:tc>
      </w:tr>
      <w:tr w:rsidR="0062688A" w14:paraId="6DF1E085"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34B925C4" w14:textId="77777777" w:rsidR="0062688A" w:rsidRDefault="00000000">
            <w:pPr>
              <w:jc w:val="both"/>
            </w:pPr>
            <w:r>
              <w:rPr>
                <w:sz w:val="21"/>
                <w:szCs w:val="21"/>
              </w:rPr>
              <w:t>Los índices clásicos condensan noches complejas en un único valor resumen, ocultando la dinámica temporal y la heterogeneidad morfológica de los eventos respiratorios.</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DEAA612" w14:textId="77777777" w:rsidR="0062688A" w:rsidRDefault="00000000">
            <w:pPr>
              <w:jc w:val="both"/>
            </w:pPr>
            <w:r>
              <w:rPr>
                <w:sz w:val="21"/>
                <w:szCs w:val="21"/>
              </w:rPr>
              <w:t>Fenotipado morfológico de eventos de desaturación mediante agrupamiento no supervisado sobre la curva completa de saturación de oxígeno: cinco morfotipos con perfiles diferenciados de profundidad, duración y carga hipóxica.</w:t>
            </w:r>
          </w:p>
        </w:tc>
      </w:tr>
      <w:tr w:rsidR="0062688A" w14:paraId="06E6F833"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33F424D" w14:textId="77777777" w:rsidR="0062688A" w:rsidRDefault="00000000">
            <w:pPr>
              <w:jc w:val="both"/>
            </w:pPr>
            <w:r>
              <w:rPr>
                <w:sz w:val="21"/>
                <w:szCs w:val="21"/>
              </w:rPr>
              <w:t>No existe una métrica que capture la respuesta autonómica al evento hipóxico individual de forma independiente de los índices de frecuencia clásicos.</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CDF8B11" w14:textId="77777777" w:rsidR="0062688A" w:rsidRDefault="00000000">
            <w:pPr>
              <w:jc w:val="both"/>
            </w:pPr>
            <w:r>
              <w:rPr>
                <w:sz w:val="21"/>
                <w:szCs w:val="21"/>
              </w:rPr>
              <w:t>Definición del Índice de Respuesta Autonómica, demostrado independiente de los índices clásicos de severidad, que cuantifica la eficiencia de la respuesta cardíaca relativa a la caída de saturación de oxígeno.</w:t>
            </w:r>
          </w:p>
        </w:tc>
      </w:tr>
      <w:tr w:rsidR="0062688A" w14:paraId="1A370897"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5CC7B04" w14:textId="77777777" w:rsidR="0062688A" w:rsidRDefault="00000000">
            <w:pPr>
              <w:jc w:val="both"/>
            </w:pPr>
            <w:r>
              <w:rPr>
                <w:sz w:val="21"/>
                <w:szCs w:val="21"/>
              </w:rPr>
              <w:t>Los análisis basados en índices agregados no capturan la organización dinámica de la noche como secuencia temporal de estados fisiológicos diferenciados.</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0983506" w14:textId="77777777" w:rsidR="0062688A" w:rsidRDefault="00000000">
            <w:pPr>
              <w:jc w:val="both"/>
            </w:pPr>
            <w:r>
              <w:rPr>
                <w:sz w:val="21"/>
                <w:szCs w:val="21"/>
              </w:rPr>
              <w:t>Sistema de estados PAC a tres escalas temporales simultáneas: representación del sueño como trayectoria fisiológica multiescala con estados interpretables que capturan la estructura nocturna en distintas resoluciones.</w:t>
            </w:r>
          </w:p>
        </w:tc>
      </w:tr>
      <w:tr w:rsidR="0062688A" w14:paraId="3246CD2E"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C51416D" w14:textId="77777777" w:rsidR="0062688A" w:rsidRDefault="00000000">
            <w:pPr>
              <w:jc w:val="both"/>
            </w:pPr>
            <w:r>
              <w:rPr>
                <w:sz w:val="21"/>
                <w:szCs w:val="21"/>
              </w:rPr>
              <w:lastRenderedPageBreak/>
              <w:t>El impacto de un evento depende del contexto fisiológico en que ocurre, pero los índices clásicos no distinguen entre eventos equivalentes producidos en contextos fisiológicos distintos.</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447D1C1" w14:textId="77777777" w:rsidR="0062688A" w:rsidRDefault="00000000">
            <w:pPr>
              <w:jc w:val="both"/>
            </w:pPr>
            <w:r>
              <w:rPr>
                <w:sz w:val="21"/>
                <w:szCs w:val="21"/>
              </w:rPr>
              <w:t>Análisis de acoplamiento entre eventos de desaturación y estados PAC: el riesgo de evento severo es notablemente mayor en estados patológicos que en estados protectores, y el mismo morfotipo de evento presenta expresiones fisiológicas distintas según el contexto dinámico asociado.</w:t>
            </w:r>
          </w:p>
        </w:tc>
      </w:tr>
      <w:tr w:rsidR="0062688A" w14:paraId="7ECF0155"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13A1F0C" w14:textId="77777777" w:rsidR="0062688A" w:rsidRDefault="00000000">
            <w:pPr>
              <w:jc w:val="both"/>
            </w:pPr>
            <w:r>
              <w:rPr>
                <w:sz w:val="21"/>
                <w:szCs w:val="21"/>
              </w:rPr>
              <w:t>Los registros domiciliarios generan grandes volúmenes de datos que no se traducen automáticamente en información clínicamente útil para el médico.</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DC5F830" w14:textId="77777777" w:rsidR="0062688A" w:rsidRDefault="00000000">
            <w:pPr>
              <w:jc w:val="both"/>
            </w:pPr>
            <w:r>
              <w:rPr>
                <w:sz w:val="21"/>
                <w:szCs w:val="21"/>
              </w:rPr>
              <w:t>Aplicación clínica interactiva con pipeline de inferencia completo: morfotipos de eventos, estados PAC, índice de riesgo integrado e informe con asistencia de inteligencia artificial, disponibles en tiempo real a partir del archivo de registro domiciliario.</w:t>
            </w:r>
          </w:p>
        </w:tc>
      </w:tr>
      <w:tr w:rsidR="0062688A" w14:paraId="35465801"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673070C" w14:textId="77777777" w:rsidR="0062688A" w:rsidRDefault="00000000">
            <w:pPr>
              <w:jc w:val="both"/>
            </w:pPr>
            <w:r>
              <w:rPr>
                <w:sz w:val="21"/>
                <w:szCs w:val="21"/>
              </w:rPr>
              <w:t>No existe capacidad de anticipar eventos severos con margen temporal suficiente para la activación de una intervención terapéutica preventiva.</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5E24A39" w14:textId="77777777" w:rsidR="0062688A" w:rsidRDefault="00000000">
            <w:pPr>
              <w:jc w:val="both"/>
            </w:pPr>
            <w:r>
              <w:rPr>
                <w:sz w:val="21"/>
                <w:szCs w:val="21"/>
              </w:rPr>
              <w:t>Sistema de predicción prospectiva con margen temporal: estimación de la probabilidad de ocurrencia de un evento severo en los próximos minutos, validada en pacientes independientes, como base para la estimulación transcutánea preventiva.</w:t>
            </w:r>
          </w:p>
        </w:tc>
      </w:tr>
    </w:tbl>
    <w:p w14:paraId="66AAFC65" w14:textId="77777777" w:rsidR="0062688A" w:rsidRDefault="0062688A">
      <w:pPr>
        <w:spacing w:before="80"/>
      </w:pPr>
    </w:p>
    <w:p w14:paraId="48A1AD52" w14:textId="77777777" w:rsidR="0062688A" w:rsidRDefault="00000000">
      <w:pPr>
        <w:pStyle w:val="Ttulo2"/>
      </w:pPr>
      <w:r>
        <w:t>1.6 Objetivo del trabajo</w:t>
      </w:r>
    </w:p>
    <w:p w14:paraId="7D82FB93" w14:textId="77777777" w:rsidR="0062688A" w:rsidRDefault="00000000">
      <w:pPr>
        <w:spacing w:after="160"/>
        <w:ind w:firstLine="720"/>
        <w:jc w:val="both"/>
      </w:pPr>
      <w:r>
        <w:t>El objetivo general de este trabajo es desarrollar un marco metodológico basado en Ciencia de Datos para el análisis multiescala de registros fisiológicos nocturnos obtenidos mediante sensores portátiles domiciliarios, orientado a la identificación y caracterización de eventos de desaturación de oxígeno, la modelización de la dinámica temporal del sueño y la construcción de modelos predictivos clínicamente interpretables.</w:t>
      </w:r>
    </w:p>
    <w:p w14:paraId="24FA3FF9" w14:textId="77777777" w:rsidR="0062688A" w:rsidRDefault="00000000">
      <w:pPr>
        <w:spacing w:after="160"/>
        <w:ind w:firstLine="720"/>
        <w:jc w:val="both"/>
      </w:pPr>
      <w:r>
        <w:t>Este objetivo general se descompone en los siguientes objetivos específicos:</w:t>
      </w:r>
    </w:p>
    <w:p w14:paraId="2F74F9D1" w14:textId="77777777" w:rsidR="0062688A" w:rsidRDefault="00000000">
      <w:pPr>
        <w:pStyle w:val="Prrafodelista"/>
        <w:numPr>
          <w:ilvl w:val="0"/>
          <w:numId w:val="2"/>
        </w:numPr>
        <w:jc w:val="both"/>
      </w:pPr>
      <w:r>
        <w:t>Diseñar e implementar un pipeline de procesamiento reproducible que transforme registros crudos de oximetría domiciliaria en representaciones estructuradas y trazables, cubriendo desde el control de calidad de señal hasta la generación de tablas consolidadas listas para el análisis.</w:t>
      </w:r>
    </w:p>
    <w:p w14:paraId="35A08FE8" w14:textId="77777777" w:rsidR="0062688A" w:rsidRDefault="00000000">
      <w:pPr>
        <w:pStyle w:val="Prrafodelista"/>
        <w:numPr>
          <w:ilvl w:val="0"/>
          <w:numId w:val="2"/>
        </w:numPr>
        <w:jc w:val="both"/>
      </w:pPr>
      <w:r>
        <w:t>Caracterizar morfológicamente los eventos de desaturación de oxígeno mediante agrupamiento no supervisado sobre curvas de saturación, e introducir el Índice de Respuesta Autonómica como dimensión complementaria e independiente de los índices clásicos de severidad.</w:t>
      </w:r>
    </w:p>
    <w:p w14:paraId="6BBD8DF9" w14:textId="77777777" w:rsidR="0062688A" w:rsidRDefault="00000000">
      <w:pPr>
        <w:pStyle w:val="Prrafodelista"/>
        <w:numPr>
          <w:ilvl w:val="0"/>
          <w:numId w:val="2"/>
        </w:numPr>
        <w:jc w:val="both"/>
      </w:pPr>
      <w:r>
        <w:t>Desarrollar y validar el sistema de estados PAC multiescala: representación del sueño como secuencia de estados dinámicos a tres escalas temporales, que captura la organización global de la noche más allá de los índices agregados.</w:t>
      </w:r>
    </w:p>
    <w:p w14:paraId="61FC695D" w14:textId="77777777" w:rsidR="0062688A" w:rsidRDefault="00000000">
      <w:pPr>
        <w:pStyle w:val="Prrafodelista"/>
        <w:numPr>
          <w:ilvl w:val="0"/>
          <w:numId w:val="2"/>
        </w:numPr>
        <w:jc w:val="both"/>
      </w:pPr>
      <w:r>
        <w:t>Cuantificar el acoplamiento entre los estados dinámicos nocturnos y la severidad de los eventos individuales, y construir modelos predictivos validados mediante validación cruzada estricta a nivel de paciente.</w:t>
      </w:r>
    </w:p>
    <w:p w14:paraId="2B6301CF" w14:textId="77777777" w:rsidR="0062688A" w:rsidRDefault="00000000">
      <w:pPr>
        <w:pStyle w:val="Prrafodelista"/>
        <w:numPr>
          <w:ilvl w:val="0"/>
          <w:numId w:val="2"/>
        </w:numPr>
        <w:jc w:val="both"/>
      </w:pPr>
      <w:r>
        <w:t>Desarrollar una aplicación clínica interactiva que ejecute el pipeline de inferencia sobre registros domiciliarios nuevos y ponga las representaciones analíticas al alcance del médico en su práctica cotidiana.</w:t>
      </w:r>
    </w:p>
    <w:p w14:paraId="104920B1" w14:textId="77777777" w:rsidR="0062688A" w:rsidRDefault="00000000">
      <w:pPr>
        <w:pStyle w:val="Prrafodelista"/>
        <w:numPr>
          <w:ilvl w:val="0"/>
          <w:numId w:val="2"/>
        </w:numPr>
        <w:jc w:val="both"/>
      </w:pPr>
      <w:r>
        <w:t>Implementar y validar un sistema de predicción prospectiva con margen temporal que anticipe la ocurrencia de eventos severos con antelación suficiente para la activación de dispositivos de estimulación transcutánea preventiva.</w:t>
      </w:r>
    </w:p>
    <w:p w14:paraId="6077EC82" w14:textId="77777777" w:rsidR="0062688A" w:rsidRDefault="00000000">
      <w:pPr>
        <w:pStyle w:val="Ttulo2"/>
      </w:pPr>
      <w:r>
        <w:t>1.7 Transferencia de los resultados obtenidos</w:t>
      </w:r>
    </w:p>
    <w:p w14:paraId="73B918A1" w14:textId="77777777" w:rsidR="0062688A" w:rsidRDefault="00000000">
      <w:pPr>
        <w:spacing w:after="160"/>
        <w:ind w:firstLine="720"/>
        <w:jc w:val="both"/>
      </w:pPr>
      <w:r>
        <w:lastRenderedPageBreak/>
        <w:t>Los resultados de este trabajo se transfieren en múltiples direcciones. En el ámbito de la práctica médica privada que motivó el proyecto, el pipeline y la aplicación interactiva ya están operativos: cualquier registro domiciliario exportado del dispositivo puede ser analizado en tiempo real, obteniendo morfotipos de eventos, estados PAC, índice de riesgo e informe en menos de un minuto. Esta capacidad transforma el flujo de trabajo clínico habitual, pasando de la lectura de un reporte estático a la exploración dinámica de la fisiología nocturna del paciente.</w:t>
      </w:r>
    </w:p>
    <w:p w14:paraId="1EF2DDCA" w14:textId="5855A474" w:rsidR="0062688A" w:rsidRDefault="00000000">
      <w:pPr>
        <w:spacing w:after="160"/>
        <w:ind w:firstLine="720"/>
        <w:jc w:val="both"/>
      </w:pPr>
      <w:r>
        <w:t>En el plano científico, los resultados se organizan en un marco de cuatro publicaciones. El primer artículo, sobre fenotipado morfológico e Índice de Respuesta Autonómica, está en preparación para envío a revista indexada. Los tres artículos restantes</w:t>
      </w:r>
      <w:r w:rsidR="00E82F55">
        <w:t xml:space="preserve">, </w:t>
      </w:r>
      <w:r>
        <w:t>sobre estados PAC, acoplamiento y predicción, y predicción con margen temporal terapéutico</w:t>
      </w:r>
      <w:r w:rsidR="00E82F55">
        <w:t>,</w:t>
      </w:r>
      <w:r>
        <w:t xml:space="preserve"> se proyectan como publicaciones post-tesis, con hipótesis, datos y resultados preliminares ya disponibles.</w:t>
      </w:r>
    </w:p>
    <w:p w14:paraId="66334740" w14:textId="63F3D9D6" w:rsidR="0062688A" w:rsidRDefault="00000000">
      <w:pPr>
        <w:spacing w:after="160"/>
        <w:ind w:firstLine="720"/>
        <w:jc w:val="both"/>
      </w:pPr>
      <w:r>
        <w:t xml:space="preserve">Desde el punto de vista metodológico, el pipeline </w:t>
      </w:r>
      <w:r w:rsidRPr="00E82F55">
        <w:rPr>
          <w:color w:val="EE0000"/>
        </w:rPr>
        <w:t>PAC_v</w:t>
      </w:r>
      <w:r w:rsidR="00E82F55">
        <w:rPr>
          <w:color w:val="EE0000"/>
        </w:rPr>
        <w:t>3</w:t>
      </w:r>
      <w:r w:rsidRPr="00E82F55">
        <w:rPr>
          <w:color w:val="EE0000"/>
        </w:rPr>
        <w:t xml:space="preserve"> </w:t>
      </w:r>
      <w:r>
        <w:t>es un repositorio documentado con arquitectura modular y pruebas automatizadas, diseñado para ser extendido a cohortes de mayor tamaño, para integrar señales adicionales o para adaptarse a otros trastornos de monitoreo continuo en salud. La trazabilidad completa del proceso garantiza la reproducibilidad de todos los resultados presentados.</w:t>
      </w:r>
    </w:p>
    <w:p w14:paraId="58415D48" w14:textId="77777777" w:rsidR="0062688A" w:rsidRPr="003B59EA" w:rsidRDefault="00000000">
      <w:pPr>
        <w:pStyle w:val="Ttulo2"/>
        <w:rPr>
          <w:color w:val="EE0000"/>
        </w:rPr>
      </w:pPr>
      <w:r w:rsidRPr="003B59EA">
        <w:rPr>
          <w:color w:val="EE0000"/>
        </w:rPr>
        <w:t>1.8 Contribuciones principales</w:t>
      </w:r>
    </w:p>
    <w:p w14:paraId="5EA476BC" w14:textId="77777777" w:rsidR="0062688A" w:rsidRPr="003B59EA" w:rsidRDefault="00000000">
      <w:pPr>
        <w:spacing w:after="160"/>
        <w:ind w:firstLine="720"/>
        <w:jc w:val="both"/>
        <w:rPr>
          <w:color w:val="EE0000"/>
        </w:rPr>
      </w:pPr>
      <w:r w:rsidRPr="003B59EA">
        <w:rPr>
          <w:color w:val="EE0000"/>
        </w:rPr>
        <w:t>Las contribuciones de este trabajo pueden agruparse en tres dimensiones: metodológica, científica y aplicada.</w:t>
      </w:r>
    </w:p>
    <w:p w14:paraId="666BF37F" w14:textId="77777777" w:rsidR="0062688A" w:rsidRPr="003B59EA" w:rsidRDefault="00000000">
      <w:pPr>
        <w:pStyle w:val="Ttulo3"/>
        <w:rPr>
          <w:color w:val="EE0000"/>
        </w:rPr>
      </w:pPr>
      <w:r w:rsidRPr="003B59EA">
        <w:rPr>
          <w:color w:val="EE0000"/>
        </w:rPr>
        <w:t>Contribuciones metodológicas</w:t>
      </w:r>
    </w:p>
    <w:p w14:paraId="566929E0" w14:textId="77777777" w:rsidR="0062688A" w:rsidRPr="003B59EA" w:rsidRDefault="00000000">
      <w:pPr>
        <w:pStyle w:val="Prrafodelista"/>
        <w:numPr>
          <w:ilvl w:val="0"/>
          <w:numId w:val="2"/>
        </w:numPr>
        <w:jc w:val="both"/>
        <w:rPr>
          <w:color w:val="EE0000"/>
        </w:rPr>
      </w:pPr>
      <w:r w:rsidRPr="003B59EA">
        <w:rPr>
          <w:b/>
          <w:bCs/>
          <w:color w:val="EE0000"/>
        </w:rPr>
        <w:t xml:space="preserve">Pipeline PAC_v2: </w:t>
      </w:r>
      <w:r w:rsidRPr="003B59EA">
        <w:rPr>
          <w:color w:val="EE0000"/>
        </w:rPr>
        <w:t>arquitectura de procesamiento incremental con cuatro zonas (Bronze → Silver → Eventos → Gold), tablas consolidadas con más de cien variables por noche, trazabilidad completa y conjunto de pruebas automatizadas. El corpus de análisis abarca cientos de noches y decenas de miles de eventos sobre señales de alta resolución temporal.</w:t>
      </w:r>
    </w:p>
    <w:p w14:paraId="1B784EF1" w14:textId="77777777" w:rsidR="0062688A" w:rsidRPr="003B59EA" w:rsidRDefault="00000000">
      <w:pPr>
        <w:pStyle w:val="Prrafodelista"/>
        <w:numPr>
          <w:ilvl w:val="0"/>
          <w:numId w:val="2"/>
        </w:numPr>
        <w:jc w:val="both"/>
        <w:rPr>
          <w:color w:val="EE0000"/>
        </w:rPr>
      </w:pPr>
      <w:r w:rsidRPr="003B59EA">
        <w:rPr>
          <w:b/>
          <w:bCs/>
          <w:color w:val="EE0000"/>
        </w:rPr>
        <w:t xml:space="preserve">Fenotipado de EDOs: </w:t>
      </w:r>
      <w:r w:rsidRPr="003B59EA">
        <w:rPr>
          <w:color w:val="EE0000"/>
        </w:rPr>
        <w:t>primer enfoque basado en la curva completa de saturación de oxígeno para identificar cinco morfotipos reproducibles mediante agrupamiento no supervisado. Validado mediante criterios de cohesión interna, reproducibilidad intranoche y comparación con sistemas de clasificación por reglas.</w:t>
      </w:r>
    </w:p>
    <w:p w14:paraId="717941D9" w14:textId="77777777" w:rsidR="0062688A" w:rsidRPr="003B59EA" w:rsidRDefault="00000000">
      <w:pPr>
        <w:pStyle w:val="Prrafodelista"/>
        <w:numPr>
          <w:ilvl w:val="0"/>
          <w:numId w:val="2"/>
        </w:numPr>
        <w:jc w:val="both"/>
        <w:rPr>
          <w:color w:val="EE0000"/>
        </w:rPr>
      </w:pPr>
      <w:r w:rsidRPr="003B59EA">
        <w:rPr>
          <w:b/>
          <w:bCs/>
          <w:color w:val="EE0000"/>
        </w:rPr>
        <w:t xml:space="preserve">Índice de Respuesta Autonómica: </w:t>
      </w:r>
      <w:r w:rsidRPr="003B59EA">
        <w:rPr>
          <w:color w:val="EE0000"/>
        </w:rPr>
        <w:t>nuevo índice definido como el cociente entre el incremento de frecuencia cardíaca y la caída de saturación por evento, demostrado independiente de los índices clásicos y discriminativo dentro de estratos de severidad equivalente.</w:t>
      </w:r>
    </w:p>
    <w:p w14:paraId="53E01AEA" w14:textId="77777777" w:rsidR="0062688A" w:rsidRPr="003B59EA" w:rsidRDefault="00000000">
      <w:pPr>
        <w:pStyle w:val="Prrafodelista"/>
        <w:numPr>
          <w:ilvl w:val="0"/>
          <w:numId w:val="2"/>
        </w:numPr>
        <w:jc w:val="both"/>
        <w:rPr>
          <w:color w:val="EE0000"/>
        </w:rPr>
      </w:pPr>
      <w:r w:rsidRPr="003B59EA">
        <w:rPr>
          <w:b/>
          <w:bCs/>
          <w:color w:val="EE0000"/>
        </w:rPr>
        <w:t xml:space="preserve">Estados PAC multiescala: </w:t>
      </w:r>
      <w:r w:rsidRPr="003B59EA">
        <w:rPr>
          <w:color w:val="EE0000"/>
        </w:rPr>
        <w:t>sistema de representación dinámica a tres resoluciones temporales simultáneas, validado mediante análisis de asociación estadística, modelado markoviano y agrupamiento de trayectorias nocturnas.</w:t>
      </w:r>
    </w:p>
    <w:p w14:paraId="5775713A" w14:textId="77777777" w:rsidR="0062688A" w:rsidRPr="003B59EA" w:rsidRDefault="00000000">
      <w:pPr>
        <w:pStyle w:val="Ttulo3"/>
        <w:rPr>
          <w:color w:val="EE0000"/>
        </w:rPr>
      </w:pPr>
      <w:r w:rsidRPr="003B59EA">
        <w:rPr>
          <w:color w:val="EE0000"/>
        </w:rPr>
        <w:t>Contribuciones científicas</w:t>
      </w:r>
    </w:p>
    <w:p w14:paraId="4F859F54" w14:textId="77777777" w:rsidR="0062688A" w:rsidRPr="003B59EA" w:rsidRDefault="00000000">
      <w:pPr>
        <w:pStyle w:val="Prrafodelista"/>
        <w:numPr>
          <w:ilvl w:val="0"/>
          <w:numId w:val="2"/>
        </w:numPr>
        <w:jc w:val="both"/>
        <w:rPr>
          <w:color w:val="EE0000"/>
        </w:rPr>
      </w:pPr>
      <w:r w:rsidRPr="003B59EA">
        <w:rPr>
          <w:b/>
          <w:bCs/>
          <w:color w:val="EE0000"/>
        </w:rPr>
        <w:t xml:space="preserve">Acoplamiento EDO–estado PAC: </w:t>
      </w:r>
      <w:r w:rsidRPr="003B59EA">
        <w:rPr>
          <w:color w:val="EE0000"/>
        </w:rPr>
        <w:t>cuantificación del riesgo diferencial de evento severo según el estado dinámico del organismo en el momento del evento, y análisis de la resiliencia post-evento a distintas escalas temporales. El hallazgo central es que el contexto fisiológico modifica sustancialmente el impacto de un mismo tipo de evento.</w:t>
      </w:r>
    </w:p>
    <w:p w14:paraId="543E2A83" w14:textId="77777777" w:rsidR="0062688A" w:rsidRPr="003B59EA" w:rsidRDefault="00000000">
      <w:pPr>
        <w:pStyle w:val="Prrafodelista"/>
        <w:numPr>
          <w:ilvl w:val="0"/>
          <w:numId w:val="2"/>
        </w:numPr>
        <w:jc w:val="both"/>
        <w:rPr>
          <w:color w:val="EE0000"/>
        </w:rPr>
      </w:pPr>
      <w:r w:rsidRPr="003B59EA">
        <w:rPr>
          <w:b/>
          <w:bCs/>
          <w:color w:val="EE0000"/>
        </w:rPr>
        <w:t xml:space="preserve">Validación predictiva a nivel de paciente: </w:t>
      </w:r>
      <w:r w:rsidRPr="003B59EA">
        <w:rPr>
          <w:color w:val="EE0000"/>
        </w:rPr>
        <w:t xml:space="preserve">demostración de que los estados PAC constituyen el grupo de variables más predictivo de severidad clínica nocturna, </w:t>
      </w:r>
      <w:r w:rsidRPr="003B59EA">
        <w:rPr>
          <w:color w:val="EE0000"/>
        </w:rPr>
        <w:lastRenderedPageBreak/>
        <w:t>superando a índices establecidos en validación estricta que evalúa la generalización a pacientes no vistos durante el entrenamiento.</w:t>
      </w:r>
    </w:p>
    <w:p w14:paraId="6FF1CAFD" w14:textId="77777777" w:rsidR="0062688A" w:rsidRPr="003B59EA" w:rsidRDefault="00000000">
      <w:pPr>
        <w:pStyle w:val="Prrafodelista"/>
        <w:numPr>
          <w:ilvl w:val="0"/>
          <w:numId w:val="2"/>
        </w:numPr>
        <w:jc w:val="both"/>
        <w:rPr>
          <w:color w:val="EE0000"/>
        </w:rPr>
      </w:pPr>
      <w:r w:rsidRPr="003B59EA">
        <w:rPr>
          <w:b/>
          <w:bCs/>
          <w:color w:val="EE0000"/>
        </w:rPr>
        <w:t xml:space="preserve">Modelos de predicción de producción: </w:t>
      </w:r>
      <w:r w:rsidRPr="003B59EA">
        <w:rPr>
          <w:color w:val="EE0000"/>
        </w:rPr>
        <w:t>modelo de gradiente potenciado para predicción de evento severo individual y regresión logística de riesgo nocturno, ambos validados con generalización real a nivel de paciente. Índice de riesgo integrado con separación monótona por categoría clínica.</w:t>
      </w:r>
    </w:p>
    <w:p w14:paraId="2A053F3A" w14:textId="77777777" w:rsidR="0062688A" w:rsidRPr="003B59EA" w:rsidRDefault="00000000">
      <w:pPr>
        <w:pStyle w:val="Prrafodelista"/>
        <w:numPr>
          <w:ilvl w:val="0"/>
          <w:numId w:val="2"/>
        </w:numPr>
        <w:jc w:val="both"/>
        <w:rPr>
          <w:color w:val="EE0000"/>
        </w:rPr>
      </w:pPr>
      <w:r w:rsidRPr="003B59EA">
        <w:rPr>
          <w:b/>
          <w:bCs/>
          <w:color w:val="EE0000"/>
        </w:rPr>
        <w:t xml:space="preserve">Predicción con margen temporal: </w:t>
      </w:r>
      <w:r w:rsidRPr="003B59EA">
        <w:rPr>
          <w:color w:val="EE0000"/>
        </w:rPr>
        <w:t>anticipación de eventos severos con horizonte clínicamente relevante, validada en pacientes independientes, como base cuantitativa para la activación de estimulación transcutánea preventiva.</w:t>
      </w:r>
    </w:p>
    <w:p w14:paraId="26575C87" w14:textId="77777777" w:rsidR="0062688A" w:rsidRPr="003B59EA" w:rsidRDefault="00000000">
      <w:pPr>
        <w:pStyle w:val="Ttulo3"/>
        <w:rPr>
          <w:color w:val="EE0000"/>
        </w:rPr>
      </w:pPr>
      <w:r w:rsidRPr="003B59EA">
        <w:rPr>
          <w:color w:val="EE0000"/>
        </w:rPr>
        <w:t>Contribuciones aplicadas</w:t>
      </w:r>
    </w:p>
    <w:p w14:paraId="00857353" w14:textId="6FAC4019" w:rsidR="0062688A" w:rsidRPr="003B59EA" w:rsidRDefault="00000000">
      <w:pPr>
        <w:pStyle w:val="Prrafodelista"/>
        <w:numPr>
          <w:ilvl w:val="0"/>
          <w:numId w:val="2"/>
        </w:numPr>
        <w:jc w:val="both"/>
        <w:rPr>
          <w:color w:val="EE0000"/>
        </w:rPr>
      </w:pPr>
      <w:r w:rsidRPr="003B59EA">
        <w:rPr>
          <w:b/>
          <w:bCs/>
          <w:color w:val="EE0000"/>
        </w:rPr>
        <w:t xml:space="preserve">Aplicación clínica interactiva: </w:t>
      </w:r>
      <w:r w:rsidRPr="003B59EA">
        <w:rPr>
          <w:color w:val="EE0000"/>
        </w:rPr>
        <w:t>herramienta que ejecuta el pipeline completo sobre registros domiciliarios nuevos, generando morfotipos, estados PAC, índice de riesgo e informe con asistencia de inteligencia artificial en cinco pestañas, lista para uso en la práctica médica privada.</w:t>
      </w:r>
      <w:r w:rsidR="003B59EA">
        <w:rPr>
          <w:color w:val="EE0000"/>
        </w:rPr>
        <w:t xml:space="preserve"> </w:t>
      </w:r>
      <w:r w:rsidR="003B59EA" w:rsidRPr="003B59EA">
        <w:rPr>
          <w:i/>
          <w:iCs/>
          <w:color w:val="EE0000"/>
        </w:rPr>
        <w:t>(No deberia ir al final? Acá incluye concluiones y resultados)</w:t>
      </w:r>
    </w:p>
    <w:p w14:paraId="1AA5E72F" w14:textId="77777777" w:rsidR="0062688A" w:rsidRPr="003B59EA" w:rsidRDefault="00000000">
      <w:pPr>
        <w:pStyle w:val="Ttulo2"/>
        <w:rPr>
          <w:color w:val="EE0000"/>
        </w:rPr>
      </w:pPr>
      <w:r w:rsidRPr="003B59EA">
        <w:rPr>
          <w:color w:val="EE0000"/>
        </w:rPr>
        <w:t>1.9 Trabajos presentados vinculados con el trabajo final</w:t>
      </w:r>
    </w:p>
    <w:p w14:paraId="69A2BA1C" w14:textId="77777777" w:rsidR="0062688A" w:rsidRPr="003B59EA" w:rsidRDefault="00000000">
      <w:pPr>
        <w:spacing w:after="160"/>
        <w:ind w:firstLine="720"/>
        <w:jc w:val="both"/>
        <w:rPr>
          <w:color w:val="EE0000"/>
        </w:rPr>
      </w:pPr>
      <w:r w:rsidRPr="003B59EA">
        <w:rPr>
          <w:color w:val="EE0000"/>
        </w:rPr>
        <w:t>En el marco del desarrollo de esta tesis se elaboró un artículo científico actualmente en preparación para su envío a revista especializada:</w:t>
      </w:r>
    </w:p>
    <w:p w14:paraId="22CAA6D1" w14:textId="77777777" w:rsidR="0062688A" w:rsidRPr="003B59EA" w:rsidRDefault="0062688A">
      <w:pPr>
        <w:spacing w:before="60"/>
        <w:rPr>
          <w:color w:val="EE000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2688A" w:rsidRPr="003B59EA" w14:paraId="2AB7AE6E" w14:textId="77777777">
        <w:tblPrEx>
          <w:tblCellMar>
            <w:top w:w="0" w:type="dxa"/>
            <w:bottom w:w="0" w:type="dxa"/>
          </w:tblCellMar>
        </w:tblPrEx>
        <w:tc>
          <w:tcPr>
            <w:tcW w:w="9026" w:type="dxa"/>
            <w:tcBorders>
              <w:top w:val="single" w:sz="1" w:space="0" w:color="D1D5DB"/>
              <w:left w:val="single" w:sz="1" w:space="0" w:color="D1D5DB"/>
              <w:bottom w:val="single" w:sz="1" w:space="0" w:color="D1D5DB"/>
              <w:right w:val="single" w:sz="1" w:space="0" w:color="D1D5DB"/>
            </w:tcBorders>
            <w:shd w:val="clear" w:color="auto" w:fill="DCFCE7"/>
            <w:tcMar>
              <w:top w:w="140" w:type="dxa"/>
              <w:left w:w="200" w:type="dxa"/>
              <w:bottom w:w="140" w:type="dxa"/>
              <w:right w:w="200" w:type="dxa"/>
            </w:tcMar>
          </w:tcPr>
          <w:p w14:paraId="536E6B9A" w14:textId="77777777" w:rsidR="0062688A" w:rsidRPr="003B59EA" w:rsidRDefault="00000000">
            <w:pPr>
              <w:spacing w:after="80"/>
              <w:rPr>
                <w:color w:val="EE0000"/>
              </w:rPr>
            </w:pPr>
            <w:r w:rsidRPr="003B59EA">
              <w:rPr>
                <w:b/>
                <w:bCs/>
                <w:color w:val="EE0000"/>
              </w:rPr>
              <w:t xml:space="preserve">Inza, R. &amp; Delia, D. (2026). </w:t>
            </w:r>
            <w:r w:rsidRPr="003B59EA">
              <w:rPr>
                <w:i/>
                <w:iCs/>
                <w:color w:val="EE0000"/>
              </w:rPr>
              <w:t xml:space="preserve">Fenotipado morfológico y respuesta autonómica en eventos de desaturación nocturna: un enfoque basado en datos más allá de los índices clásicos. </w:t>
            </w:r>
          </w:p>
          <w:p w14:paraId="4E22DE51" w14:textId="77777777" w:rsidR="0062688A" w:rsidRPr="003B59EA" w:rsidRDefault="00000000">
            <w:pPr>
              <w:rPr>
                <w:color w:val="EE0000"/>
              </w:rPr>
            </w:pPr>
            <w:r w:rsidRPr="003B59EA">
              <w:rPr>
                <w:color w:val="EE0000"/>
                <w:sz w:val="20"/>
                <w:szCs w:val="20"/>
              </w:rPr>
              <w:t>En preparación. Cubre los análisis de morfología de eventos y respuesta autonómica. Revistas consideradas: Sleep Medicine (Elsevier), Journal of Sleep Research (Wiley), Frontiers in Neuroscience.</w:t>
            </w:r>
          </w:p>
        </w:tc>
      </w:tr>
    </w:tbl>
    <w:p w14:paraId="63AB861B" w14:textId="77777777" w:rsidR="0062688A" w:rsidRPr="003B59EA" w:rsidRDefault="0062688A">
      <w:pPr>
        <w:spacing w:before="100"/>
        <w:rPr>
          <w:color w:val="EE0000"/>
        </w:rPr>
      </w:pPr>
    </w:p>
    <w:p w14:paraId="464492F9" w14:textId="662CA7B5" w:rsidR="0062688A" w:rsidRPr="003B59EA" w:rsidRDefault="00000000">
      <w:pPr>
        <w:spacing w:after="160"/>
        <w:ind w:firstLine="720"/>
        <w:jc w:val="both"/>
        <w:rPr>
          <w:color w:val="EE0000"/>
        </w:rPr>
      </w:pPr>
      <w:r w:rsidRPr="003B59EA">
        <w:rPr>
          <w:color w:val="EE0000"/>
        </w:rPr>
        <w:t>Adicionalmente, el trabajo define un marco de tres publicaciones adicionales post-tesis, cubriendo el sistema de estados PAC y los índices nocturnos, el acoplamiento EDO–estado y los modelos de predicción, y la predicción con margen temporal para estimulación terapéutica. Los tres artículos cuentan con hipótesis, resultados preliminares y datos ya disponibles.</w:t>
      </w:r>
      <w:r w:rsidR="003B59EA">
        <w:rPr>
          <w:color w:val="EE0000"/>
        </w:rPr>
        <w:t xml:space="preserve"> </w:t>
      </w:r>
      <w:r w:rsidR="003B59EA" w:rsidRPr="003B59EA">
        <w:rPr>
          <w:i/>
          <w:iCs/>
          <w:color w:val="EE0000"/>
        </w:rPr>
        <w:t>(No deberia ir al final? Acá incluye concluiones y resultados)</w:t>
      </w:r>
    </w:p>
    <w:p w14:paraId="4FC73A24" w14:textId="77777777" w:rsidR="0062688A" w:rsidRDefault="00000000">
      <w:pPr>
        <w:pStyle w:val="Ttulo2"/>
      </w:pPr>
      <w:r>
        <w:t>1.10 Técnicas de ciencia de datos y aprendizaje automático aplicadas</w:t>
      </w:r>
    </w:p>
    <w:p w14:paraId="290E4F32" w14:textId="77777777" w:rsidR="0062688A" w:rsidRDefault="00000000">
      <w:pPr>
        <w:spacing w:after="160"/>
        <w:ind w:firstLine="720"/>
        <w:jc w:val="both"/>
      </w:pPr>
      <w:r>
        <w:t>Una de las contribuciones transversales de este trabajo es la aplicación integrada de métodos aprendidos a lo largo de la Maestría en Explotación de Datos y Gestión del Conocimiento sobre un problema biomédico real y complejo. La siguiente tabla enumera las principales técnicas estadísticas y de aprendizaje automático implementadas, indicando su rol en el proyecto y los capítulos donde se desarrollan en detalle.</w:t>
      </w:r>
    </w:p>
    <w:p w14:paraId="2500FC05" w14:textId="77777777" w:rsidR="0062688A" w:rsidRDefault="0062688A">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9"/>
        <w:gridCol w:w="3239"/>
        <w:gridCol w:w="1786"/>
        <w:gridCol w:w="1552"/>
      </w:tblGrid>
      <w:tr w:rsidR="0062688A" w14:paraId="0F319BA5" w14:textId="77777777">
        <w:tblPrEx>
          <w:tblCellMar>
            <w:top w:w="0" w:type="dxa"/>
            <w:bottom w:w="0" w:type="dxa"/>
          </w:tblCellMar>
        </w:tblPrEx>
        <w:trPr>
          <w:tblHeader/>
        </w:trPr>
        <w:tc>
          <w:tcPr>
            <w:tcW w:w="2600"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31D110E7" w14:textId="77777777" w:rsidR="0062688A" w:rsidRDefault="00000000">
            <w:pPr>
              <w:jc w:val="center"/>
            </w:pPr>
            <w:r>
              <w:rPr>
                <w:b/>
                <w:bCs/>
                <w:color w:val="1E3A5F"/>
                <w:sz w:val="20"/>
                <w:szCs w:val="20"/>
              </w:rPr>
              <w:t>Técnica / Método</w:t>
            </w:r>
          </w:p>
        </w:tc>
        <w:tc>
          <w:tcPr>
            <w:tcW w:w="3500"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3C823387" w14:textId="77777777" w:rsidR="0062688A" w:rsidRDefault="00000000">
            <w:pPr>
              <w:jc w:val="center"/>
            </w:pPr>
            <w:r>
              <w:rPr>
                <w:b/>
                <w:bCs/>
                <w:color w:val="1E3A5F"/>
                <w:sz w:val="20"/>
                <w:szCs w:val="20"/>
              </w:rPr>
              <w:t>Rol en el proyecto</w:t>
            </w:r>
          </w:p>
        </w:tc>
        <w:tc>
          <w:tcPr>
            <w:tcW w:w="1300"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69FF9210" w14:textId="77777777" w:rsidR="0062688A" w:rsidRDefault="00000000">
            <w:pPr>
              <w:jc w:val="center"/>
            </w:pPr>
            <w:r>
              <w:rPr>
                <w:b/>
                <w:bCs/>
                <w:color w:val="1E3A5F"/>
                <w:sz w:val="20"/>
                <w:szCs w:val="20"/>
              </w:rPr>
              <w:t>Categoría</w:t>
            </w:r>
          </w:p>
        </w:tc>
        <w:tc>
          <w:tcPr>
            <w:tcW w:w="1626"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0C936FB8" w14:textId="77777777" w:rsidR="0062688A" w:rsidRDefault="00000000">
            <w:pPr>
              <w:jc w:val="center"/>
            </w:pPr>
            <w:r>
              <w:rPr>
                <w:b/>
                <w:bCs/>
                <w:color w:val="1E3A5F"/>
                <w:sz w:val="20"/>
                <w:szCs w:val="20"/>
              </w:rPr>
              <w:t>Capítulos</w:t>
            </w:r>
          </w:p>
        </w:tc>
      </w:tr>
      <w:tr w:rsidR="0062688A" w14:paraId="26FD3805"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D2CCC73" w14:textId="77777777" w:rsidR="0062688A" w:rsidRDefault="00000000">
            <w:pPr>
              <w:jc w:val="both"/>
            </w:pPr>
            <w:r>
              <w:rPr>
                <w:b/>
                <w:bCs/>
                <w:sz w:val="21"/>
                <w:szCs w:val="21"/>
              </w:rPr>
              <w:t>Correlación intraclase</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AAC4ADE" w14:textId="77777777" w:rsidR="0062688A" w:rsidRDefault="00000000">
            <w:pPr>
              <w:jc w:val="both"/>
            </w:pPr>
            <w:r>
              <w:rPr>
                <w:sz w:val="21"/>
                <w:szCs w:val="21"/>
              </w:rPr>
              <w:t>Evaluación de la reproducibilidad noche a noche de las métricas fisiológicas por paciente. Criterio cuantitativo para la definición de la cohorte de análisis estricta.</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EC1007C" w14:textId="77777777" w:rsidR="0062688A" w:rsidRDefault="00000000">
            <w:pPr>
              <w:jc w:val="both"/>
            </w:pPr>
            <w:r>
              <w:rPr>
                <w:i/>
                <w:iCs/>
                <w:color w:val="6B7280"/>
                <w:sz w:val="21"/>
                <w:szCs w:val="21"/>
              </w:rPr>
              <w:t>Estadística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D3C8D15" w14:textId="77777777" w:rsidR="0062688A" w:rsidRDefault="00000000">
            <w:pPr>
              <w:jc w:val="center"/>
            </w:pPr>
            <w:r>
              <w:rPr>
                <w:color w:val="1E3A5F"/>
                <w:sz w:val="20"/>
                <w:szCs w:val="20"/>
              </w:rPr>
              <w:t>Caps. 3 y 4</w:t>
            </w:r>
          </w:p>
        </w:tc>
      </w:tr>
      <w:tr w:rsidR="0062688A" w14:paraId="126BCAAA"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B5AE60A" w14:textId="77777777" w:rsidR="0062688A" w:rsidRDefault="00000000">
            <w:pPr>
              <w:jc w:val="both"/>
            </w:pPr>
            <w:r>
              <w:rPr>
                <w:b/>
                <w:bCs/>
                <w:sz w:val="21"/>
                <w:szCs w:val="21"/>
              </w:rPr>
              <w:lastRenderedPageBreak/>
              <w:t>Correlación de Spearman</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937FFC0" w14:textId="77777777" w:rsidR="0062688A" w:rsidRDefault="00000000">
            <w:pPr>
              <w:jc w:val="both"/>
            </w:pPr>
            <w:r>
              <w:rPr>
                <w:sz w:val="21"/>
                <w:szCs w:val="21"/>
              </w:rPr>
              <w:t>Análisis de asociación entre variables fisiológicas y clínicas. Verificación de la independencia del Índice de Respuesta Autonómica respecto de los índices clásicos de severidad.</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45B34BB" w14:textId="77777777" w:rsidR="0062688A" w:rsidRDefault="00000000">
            <w:pPr>
              <w:jc w:val="both"/>
            </w:pPr>
            <w:r>
              <w:rPr>
                <w:i/>
                <w:iCs/>
                <w:color w:val="6B7280"/>
                <w:sz w:val="21"/>
                <w:szCs w:val="21"/>
              </w:rPr>
              <w:t>Estadística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A02A474" w14:textId="77777777" w:rsidR="0062688A" w:rsidRDefault="00000000">
            <w:pPr>
              <w:jc w:val="center"/>
            </w:pPr>
            <w:r>
              <w:rPr>
                <w:color w:val="1E3A5F"/>
                <w:sz w:val="20"/>
                <w:szCs w:val="20"/>
              </w:rPr>
              <w:t>Caps. 4 y 5</w:t>
            </w:r>
          </w:p>
        </w:tc>
      </w:tr>
      <w:tr w:rsidR="0062688A" w14:paraId="1B254605"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C4A8B0A" w14:textId="77777777" w:rsidR="0062688A" w:rsidRDefault="00000000">
            <w:pPr>
              <w:jc w:val="both"/>
            </w:pPr>
            <w:r>
              <w:rPr>
                <w:b/>
                <w:bCs/>
                <w:sz w:val="21"/>
                <w:szCs w:val="21"/>
              </w:rPr>
              <w:t>Chi-cuadrado y V de Cramér</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2C4C9B6" w14:textId="77777777" w:rsidR="0062688A" w:rsidRDefault="00000000">
            <w:pPr>
              <w:jc w:val="both"/>
            </w:pPr>
            <w:r>
              <w:rPr>
                <w:sz w:val="21"/>
                <w:szCs w:val="21"/>
              </w:rPr>
              <w:t>Cuantificación de la fuerza de asociación entre estados PAC y morfotipos de eventos en las tres escalas temporales.</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327B251B" w14:textId="77777777" w:rsidR="0062688A" w:rsidRDefault="00000000">
            <w:pPr>
              <w:jc w:val="both"/>
            </w:pPr>
            <w:r>
              <w:rPr>
                <w:i/>
                <w:iCs/>
                <w:color w:val="6B7280"/>
                <w:sz w:val="21"/>
                <w:szCs w:val="21"/>
              </w:rPr>
              <w:t>Estadística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94B5C6B" w14:textId="77777777" w:rsidR="0062688A" w:rsidRDefault="00000000">
            <w:pPr>
              <w:jc w:val="center"/>
            </w:pPr>
            <w:r>
              <w:rPr>
                <w:color w:val="1E3A5F"/>
                <w:sz w:val="20"/>
                <w:szCs w:val="20"/>
              </w:rPr>
              <w:t>Cap. 5</w:t>
            </w:r>
          </w:p>
        </w:tc>
      </w:tr>
      <w:tr w:rsidR="0062688A" w14:paraId="3A579FC8"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FFBFCCA" w14:textId="77777777" w:rsidR="0062688A" w:rsidRDefault="00000000">
            <w:pPr>
              <w:jc w:val="both"/>
            </w:pPr>
            <w:r>
              <w:rPr>
                <w:b/>
                <w:bCs/>
                <w:sz w:val="21"/>
                <w:szCs w:val="21"/>
              </w:rPr>
              <w:t>Análisis de calibración</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11DBC76" w14:textId="77777777" w:rsidR="0062688A" w:rsidRDefault="00000000">
            <w:pPr>
              <w:jc w:val="both"/>
            </w:pPr>
            <w:r>
              <w:rPr>
                <w:sz w:val="21"/>
                <w:szCs w:val="21"/>
              </w:rPr>
              <w:t>Verificación de la correspondencia entre las probabilidades predichas por los modelos y la frecuencia real de eventos adversos. Ajuste del índice de riesgo compuesto.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CD39DB5" w14:textId="77777777" w:rsidR="0062688A" w:rsidRDefault="00000000">
            <w:pPr>
              <w:jc w:val="both"/>
            </w:pPr>
            <w:r>
              <w:rPr>
                <w:i/>
                <w:iCs/>
                <w:color w:val="6B7280"/>
                <w:sz w:val="21"/>
                <w:szCs w:val="21"/>
              </w:rPr>
              <w:t>Estadística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D56145B" w14:textId="77777777" w:rsidR="0062688A" w:rsidRDefault="00000000">
            <w:pPr>
              <w:jc w:val="center"/>
            </w:pPr>
            <w:r>
              <w:rPr>
                <w:color w:val="1E3A5F"/>
                <w:sz w:val="20"/>
                <w:szCs w:val="20"/>
              </w:rPr>
              <w:t>Cap. 6</w:t>
            </w:r>
          </w:p>
        </w:tc>
      </w:tr>
      <w:tr w:rsidR="0062688A" w14:paraId="5406ED49"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E998263" w14:textId="77777777" w:rsidR="0062688A" w:rsidRDefault="00000000">
            <w:pPr>
              <w:jc w:val="both"/>
            </w:pPr>
            <w:r>
              <w:rPr>
                <w:b/>
                <w:bCs/>
                <w:sz w:val="21"/>
                <w:szCs w:val="21"/>
              </w:rPr>
              <w:t>Bootstrap e intervalos de confianza</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22BFBC9" w14:textId="77777777" w:rsidR="0062688A" w:rsidRDefault="00000000">
            <w:pPr>
              <w:jc w:val="both"/>
            </w:pPr>
            <w:r>
              <w:rPr>
                <w:sz w:val="21"/>
                <w:szCs w:val="21"/>
              </w:rPr>
              <w:t>Estimación de la incertidumbre en métricas de riesgo relativo y evaluación de la estabilidad de los modelos en muestras de tamaño reducido.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1C673679" w14:textId="77777777" w:rsidR="0062688A" w:rsidRDefault="00000000">
            <w:pPr>
              <w:jc w:val="both"/>
            </w:pPr>
            <w:r>
              <w:rPr>
                <w:i/>
                <w:iCs/>
                <w:color w:val="6B7280"/>
                <w:sz w:val="21"/>
                <w:szCs w:val="21"/>
              </w:rPr>
              <w:t>Estadística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EA17B60" w14:textId="77777777" w:rsidR="0062688A" w:rsidRDefault="00000000">
            <w:pPr>
              <w:jc w:val="center"/>
            </w:pPr>
            <w:r>
              <w:rPr>
                <w:color w:val="1E3A5F"/>
                <w:sz w:val="20"/>
                <w:szCs w:val="20"/>
              </w:rPr>
              <w:t>Caps. 5 y 6</w:t>
            </w:r>
          </w:p>
        </w:tc>
      </w:tr>
      <w:tr w:rsidR="0062688A" w14:paraId="5AA40E75"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28C9FA70" w14:textId="77777777" w:rsidR="0062688A" w:rsidRDefault="00000000">
            <w:pPr>
              <w:jc w:val="both"/>
            </w:pPr>
            <w:r>
              <w:rPr>
                <w:b/>
                <w:bCs/>
                <w:sz w:val="21"/>
                <w:szCs w:val="21"/>
              </w:rPr>
              <w:t>Agrupamiento K-Medias</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7996A42" w14:textId="77777777" w:rsidR="0062688A" w:rsidRDefault="00000000">
            <w:pPr>
              <w:jc w:val="both"/>
            </w:pPr>
            <w:r>
              <w:rPr>
                <w:sz w:val="21"/>
                <w:szCs w:val="21"/>
              </w:rPr>
              <w:t>Identificación de morfotipos de eventos de desaturación sobre curvas de saturación de oxígeno y construcción de los estados PAC a las tres escalas temporales.</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38E6270" w14:textId="77777777" w:rsidR="0062688A" w:rsidRDefault="00000000">
            <w:pPr>
              <w:jc w:val="both"/>
            </w:pPr>
            <w:r>
              <w:rPr>
                <w:i/>
                <w:iCs/>
                <w:color w:val="6B7280"/>
                <w:sz w:val="21"/>
                <w:szCs w:val="21"/>
              </w:rPr>
              <w:t>Aprendizaje no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8630ADA" w14:textId="77777777" w:rsidR="0062688A" w:rsidRDefault="00000000">
            <w:pPr>
              <w:jc w:val="center"/>
            </w:pPr>
            <w:r>
              <w:rPr>
                <w:color w:val="1E3A5F"/>
                <w:sz w:val="20"/>
                <w:szCs w:val="20"/>
              </w:rPr>
              <w:t>Caps. 4 y 5</w:t>
            </w:r>
          </w:p>
        </w:tc>
      </w:tr>
      <w:tr w:rsidR="0062688A" w14:paraId="6216FB06"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2CB805C" w14:textId="77777777" w:rsidR="0062688A" w:rsidRDefault="00000000">
            <w:pPr>
              <w:jc w:val="both"/>
            </w:pPr>
            <w:r>
              <w:rPr>
                <w:b/>
                <w:bCs/>
                <w:sz w:val="21"/>
                <w:szCs w:val="21"/>
              </w:rPr>
              <w:t>Análisis de componentes principales</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4082BCE" w14:textId="77777777" w:rsidR="0062688A" w:rsidRDefault="00000000">
            <w:pPr>
              <w:jc w:val="both"/>
            </w:pPr>
            <w:r>
              <w:rPr>
                <w:sz w:val="21"/>
                <w:szCs w:val="21"/>
              </w:rPr>
              <w:t>Reducción de dimensionalidad para explorar la estructura de la matriz de variables nocturnas y visualizar la separación entre perfiles fisiológicos de pacientes.</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38854445" w14:textId="77777777" w:rsidR="0062688A" w:rsidRDefault="00000000">
            <w:pPr>
              <w:jc w:val="both"/>
            </w:pPr>
            <w:r>
              <w:rPr>
                <w:i/>
                <w:iCs/>
                <w:color w:val="6B7280"/>
                <w:sz w:val="21"/>
                <w:szCs w:val="21"/>
              </w:rPr>
              <w:t>Aprendizaje no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B98DB03" w14:textId="77777777" w:rsidR="0062688A" w:rsidRDefault="00000000">
            <w:pPr>
              <w:jc w:val="center"/>
            </w:pPr>
            <w:r>
              <w:rPr>
                <w:color w:val="1E3A5F"/>
                <w:sz w:val="20"/>
                <w:szCs w:val="20"/>
              </w:rPr>
              <w:t>Caps. 4, 5 y 6</w:t>
            </w:r>
          </w:p>
        </w:tc>
      </w:tr>
      <w:tr w:rsidR="0062688A" w14:paraId="3D92CE84"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26A8F577" w14:textId="77777777" w:rsidR="0062688A" w:rsidRDefault="00000000">
            <w:pPr>
              <w:jc w:val="both"/>
            </w:pPr>
            <w:r>
              <w:rPr>
                <w:b/>
                <w:bCs/>
                <w:sz w:val="21"/>
                <w:szCs w:val="21"/>
              </w:rPr>
              <w:t>Análisis de silueta</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ADD995E" w14:textId="77777777" w:rsidR="0062688A" w:rsidRDefault="00000000">
            <w:pPr>
              <w:jc w:val="both"/>
            </w:pPr>
            <w:r>
              <w:rPr>
                <w:sz w:val="21"/>
                <w:szCs w:val="21"/>
              </w:rPr>
              <w:t>Criterio cuantitativo para la selección del número óptimo de grupos en el fenotipado de eventos de desaturación.</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2517B65" w14:textId="77777777" w:rsidR="0062688A" w:rsidRDefault="00000000">
            <w:pPr>
              <w:jc w:val="both"/>
            </w:pPr>
            <w:r>
              <w:rPr>
                <w:i/>
                <w:iCs/>
                <w:color w:val="6B7280"/>
                <w:sz w:val="21"/>
                <w:szCs w:val="21"/>
              </w:rPr>
              <w:t>Aprendizaje no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AF7C022" w14:textId="77777777" w:rsidR="0062688A" w:rsidRDefault="00000000">
            <w:pPr>
              <w:jc w:val="center"/>
            </w:pPr>
            <w:r>
              <w:rPr>
                <w:color w:val="1E3A5F"/>
                <w:sz w:val="20"/>
                <w:szCs w:val="20"/>
              </w:rPr>
              <w:t>Cap. 4</w:t>
            </w:r>
          </w:p>
        </w:tc>
      </w:tr>
      <w:tr w:rsidR="0062688A" w14:paraId="14F48A60"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40962AA" w14:textId="77777777" w:rsidR="0062688A" w:rsidRDefault="00000000">
            <w:pPr>
              <w:jc w:val="both"/>
            </w:pPr>
            <w:r>
              <w:rPr>
                <w:b/>
                <w:bCs/>
                <w:sz w:val="21"/>
                <w:szCs w:val="21"/>
              </w:rPr>
              <w:t>Agrupamiento de trayectorias nocturnas</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71ADCE4" w14:textId="77777777" w:rsidR="0062688A" w:rsidRDefault="00000000">
            <w:pPr>
              <w:jc w:val="both"/>
            </w:pPr>
            <w:r>
              <w:rPr>
                <w:sz w:val="21"/>
                <w:szCs w:val="21"/>
              </w:rPr>
              <w:t>Identificación de arquetipos de organización nocturna sobre vectores de variables dinámicas por noche, para caracterizar fenotipos globales de sueño.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1C98D519" w14:textId="77777777" w:rsidR="0062688A" w:rsidRDefault="00000000">
            <w:pPr>
              <w:jc w:val="both"/>
            </w:pPr>
            <w:r>
              <w:rPr>
                <w:i/>
                <w:iCs/>
                <w:color w:val="6B7280"/>
                <w:sz w:val="21"/>
                <w:szCs w:val="21"/>
              </w:rPr>
              <w:t>Aprendizaje no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E33D163" w14:textId="77777777" w:rsidR="0062688A" w:rsidRDefault="00000000">
            <w:pPr>
              <w:jc w:val="center"/>
            </w:pPr>
            <w:r>
              <w:rPr>
                <w:color w:val="1E3A5F"/>
                <w:sz w:val="20"/>
                <w:szCs w:val="20"/>
              </w:rPr>
              <w:t>Cap. 5</w:t>
            </w:r>
          </w:p>
        </w:tc>
      </w:tr>
      <w:tr w:rsidR="0062688A" w14:paraId="36B81CBB"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46D3C53" w14:textId="77777777" w:rsidR="0062688A" w:rsidRDefault="00000000">
            <w:pPr>
              <w:jc w:val="both"/>
            </w:pPr>
            <w:r>
              <w:rPr>
                <w:b/>
                <w:bCs/>
                <w:sz w:val="21"/>
                <w:szCs w:val="21"/>
              </w:rPr>
              <w:t>Cadenas de Markov discretas</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DAFFF83" w14:textId="77777777" w:rsidR="0062688A" w:rsidRDefault="00000000">
            <w:pPr>
              <w:jc w:val="both"/>
            </w:pPr>
            <w:r>
              <w:rPr>
                <w:sz w:val="21"/>
                <w:szCs w:val="21"/>
              </w:rPr>
              <w:t>Modelado de las probabilidades de transición entre estados PAC. Identificación de corredores de vulnerabilidad fisiológica y análisis de resiliencia post-evento.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13EA29BF" w14:textId="77777777" w:rsidR="0062688A" w:rsidRDefault="00000000">
            <w:pPr>
              <w:jc w:val="both"/>
            </w:pPr>
            <w:r>
              <w:rPr>
                <w:i/>
                <w:iCs/>
                <w:color w:val="6B7280"/>
                <w:sz w:val="21"/>
                <w:szCs w:val="21"/>
              </w:rPr>
              <w:t>Modelos dinámicos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950401B" w14:textId="77777777" w:rsidR="0062688A" w:rsidRDefault="00000000">
            <w:pPr>
              <w:jc w:val="center"/>
            </w:pPr>
            <w:r>
              <w:rPr>
                <w:color w:val="1E3A5F"/>
                <w:sz w:val="20"/>
                <w:szCs w:val="20"/>
              </w:rPr>
              <w:t>Caps. 5 y 6</w:t>
            </w:r>
          </w:p>
        </w:tc>
      </w:tr>
      <w:tr w:rsidR="0062688A" w14:paraId="56C79DD1"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033125E" w14:textId="77777777" w:rsidR="0062688A" w:rsidRDefault="00000000">
            <w:pPr>
              <w:jc w:val="both"/>
            </w:pPr>
            <w:r>
              <w:rPr>
                <w:b/>
                <w:bCs/>
                <w:sz w:val="21"/>
                <w:szCs w:val="21"/>
              </w:rPr>
              <w:lastRenderedPageBreak/>
              <w:t>Análisis de acoplamiento temporal</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2547138" w14:textId="77777777" w:rsidR="0062688A" w:rsidRDefault="00000000">
            <w:pPr>
              <w:jc w:val="both"/>
            </w:pPr>
            <w:r>
              <w:rPr>
                <w:sz w:val="21"/>
                <w:szCs w:val="21"/>
              </w:rPr>
              <w:t>Cuantificación de la fracción de eventos severos que ocurren en estados PAC patológicos, como indicador de la interdependencia entre dinámica nocturna y severidad de evento.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C885FB7" w14:textId="77777777" w:rsidR="0062688A" w:rsidRDefault="00000000">
            <w:pPr>
              <w:jc w:val="both"/>
            </w:pPr>
            <w:r>
              <w:rPr>
                <w:i/>
                <w:iCs/>
                <w:color w:val="6B7280"/>
                <w:sz w:val="21"/>
                <w:szCs w:val="21"/>
              </w:rPr>
              <w:t>Series temporales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6CCB84F" w14:textId="77777777" w:rsidR="0062688A" w:rsidRDefault="00000000">
            <w:pPr>
              <w:jc w:val="center"/>
            </w:pPr>
            <w:r>
              <w:rPr>
                <w:color w:val="1E3A5F"/>
                <w:sz w:val="20"/>
                <w:szCs w:val="20"/>
              </w:rPr>
              <w:t>Cap. 6</w:t>
            </w:r>
          </w:p>
        </w:tc>
      </w:tr>
      <w:tr w:rsidR="0062688A" w14:paraId="6598EE31"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2FE4314" w14:textId="77777777" w:rsidR="0062688A" w:rsidRDefault="00000000">
            <w:pPr>
              <w:jc w:val="both"/>
            </w:pPr>
            <w:r>
              <w:rPr>
                <w:b/>
                <w:bCs/>
                <w:sz w:val="21"/>
                <w:szCs w:val="21"/>
              </w:rPr>
              <w:t>Predicción sobre ventanas deslizantes</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F601C2D" w14:textId="77777777" w:rsidR="0062688A" w:rsidRDefault="00000000">
            <w:pPr>
              <w:jc w:val="both"/>
            </w:pPr>
            <w:r>
              <w:rPr>
                <w:sz w:val="21"/>
                <w:szCs w:val="21"/>
              </w:rPr>
              <w:t>Construcción del dataset de predicción prospectiva sobre ventanas temporales de treinta segundos para la estimación del margen de anticipación del evento severo.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1525AFE2" w14:textId="77777777" w:rsidR="0062688A" w:rsidRDefault="00000000">
            <w:pPr>
              <w:jc w:val="both"/>
            </w:pPr>
            <w:r>
              <w:rPr>
                <w:i/>
                <w:iCs/>
                <w:color w:val="6B7280"/>
                <w:sz w:val="21"/>
                <w:szCs w:val="21"/>
              </w:rPr>
              <w:t>Series temporales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1D93A28" w14:textId="77777777" w:rsidR="0062688A" w:rsidRDefault="00000000">
            <w:pPr>
              <w:jc w:val="center"/>
            </w:pPr>
            <w:r>
              <w:rPr>
                <w:color w:val="1E3A5F"/>
                <w:sz w:val="20"/>
                <w:szCs w:val="20"/>
              </w:rPr>
              <w:t>Cap. 8</w:t>
            </w:r>
          </w:p>
        </w:tc>
      </w:tr>
      <w:tr w:rsidR="0062688A" w14:paraId="0FFC0730"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36F6A997" w14:textId="77777777" w:rsidR="0062688A" w:rsidRDefault="00000000">
            <w:pPr>
              <w:jc w:val="both"/>
            </w:pPr>
            <w:r>
              <w:rPr>
                <w:b/>
                <w:bCs/>
                <w:sz w:val="21"/>
                <w:szCs w:val="21"/>
              </w:rPr>
              <w:t>Gradiente potenciado (LightGBM)</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FD4CCE4" w14:textId="77777777" w:rsidR="0062688A" w:rsidRDefault="00000000">
            <w:pPr>
              <w:jc w:val="both"/>
            </w:pPr>
            <w:r>
              <w:rPr>
                <w:sz w:val="21"/>
                <w:szCs w:val="21"/>
              </w:rPr>
              <w:t>Modelo de predicción de severidad del evento individual a partir de variables acumuladas en ventana temporal. Alto poder discriminativo validado en pacientes independientes.</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11C501CD" w14:textId="77777777" w:rsidR="0062688A" w:rsidRDefault="00000000">
            <w:pPr>
              <w:jc w:val="both"/>
            </w:pPr>
            <w:r>
              <w:rPr>
                <w:i/>
                <w:iCs/>
                <w:color w:val="6B7280"/>
                <w:sz w:val="21"/>
                <w:szCs w:val="21"/>
              </w:rPr>
              <w:t>Aprendizaje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DE2C713" w14:textId="77777777" w:rsidR="0062688A" w:rsidRDefault="00000000">
            <w:pPr>
              <w:jc w:val="center"/>
            </w:pPr>
            <w:r>
              <w:rPr>
                <w:color w:val="1E3A5F"/>
                <w:sz w:val="20"/>
                <w:szCs w:val="20"/>
              </w:rPr>
              <w:t>Caps. 6 y 8</w:t>
            </w:r>
          </w:p>
        </w:tc>
      </w:tr>
      <w:tr w:rsidR="0062688A" w14:paraId="0F76541E"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2AC6366" w14:textId="77777777" w:rsidR="0062688A" w:rsidRDefault="00000000">
            <w:pPr>
              <w:jc w:val="both"/>
            </w:pPr>
            <w:r>
              <w:rPr>
                <w:b/>
                <w:bCs/>
                <w:sz w:val="21"/>
                <w:szCs w:val="21"/>
              </w:rPr>
              <w:t>Regresión logística regularizada</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A6E2B47" w14:textId="77777777" w:rsidR="0062688A" w:rsidRDefault="00000000">
            <w:pPr>
              <w:jc w:val="both"/>
            </w:pPr>
            <w:r>
              <w:rPr>
                <w:sz w:val="21"/>
                <w:szCs w:val="21"/>
              </w:rPr>
              <w:t>Clasificación de riesgo nocturno sobre la matriz de variables de noche. La relación entre las variables dinámicas y el riesgo global resultó aproximadamente lineal en este espacio de representación.</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2F7F19DC" w14:textId="77777777" w:rsidR="0062688A" w:rsidRDefault="00000000">
            <w:pPr>
              <w:jc w:val="both"/>
            </w:pPr>
            <w:r>
              <w:rPr>
                <w:i/>
                <w:iCs/>
                <w:color w:val="6B7280"/>
                <w:sz w:val="21"/>
                <w:szCs w:val="21"/>
              </w:rPr>
              <w:t>Aprendizaje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A0FE94F" w14:textId="77777777" w:rsidR="0062688A" w:rsidRDefault="00000000">
            <w:pPr>
              <w:jc w:val="center"/>
            </w:pPr>
            <w:r>
              <w:rPr>
                <w:color w:val="1E3A5F"/>
                <w:sz w:val="20"/>
                <w:szCs w:val="20"/>
              </w:rPr>
              <w:t>Cap. 6</w:t>
            </w:r>
          </w:p>
        </w:tc>
      </w:tr>
      <w:tr w:rsidR="0062688A" w14:paraId="62EF868A"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985C343" w14:textId="77777777" w:rsidR="0062688A" w:rsidRDefault="00000000">
            <w:pPr>
              <w:jc w:val="both"/>
            </w:pPr>
            <w:r>
              <w:rPr>
                <w:b/>
                <w:bCs/>
                <w:sz w:val="21"/>
                <w:szCs w:val="21"/>
              </w:rPr>
              <w:t>Bosque aleatorio</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BA0BC4E" w14:textId="77777777" w:rsidR="0062688A" w:rsidRDefault="00000000">
            <w:pPr>
              <w:jc w:val="both"/>
            </w:pPr>
            <w:r>
              <w:rPr>
                <w:sz w:val="21"/>
                <w:szCs w:val="21"/>
              </w:rPr>
              <w:t>Modelo de referencia para la clasificación de severidad nocturna y análisis de importancia de variables en la validación predictiva.</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064C371" w14:textId="77777777" w:rsidR="0062688A" w:rsidRDefault="00000000">
            <w:pPr>
              <w:jc w:val="both"/>
            </w:pPr>
            <w:r>
              <w:rPr>
                <w:i/>
                <w:iCs/>
                <w:color w:val="6B7280"/>
                <w:sz w:val="21"/>
                <w:szCs w:val="21"/>
              </w:rPr>
              <w:t>Aprendizaje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4AAAE5A" w14:textId="77777777" w:rsidR="0062688A" w:rsidRDefault="00000000">
            <w:pPr>
              <w:jc w:val="center"/>
            </w:pPr>
            <w:r>
              <w:rPr>
                <w:color w:val="1E3A5F"/>
                <w:sz w:val="20"/>
                <w:szCs w:val="20"/>
              </w:rPr>
              <w:t>Cap. 6</w:t>
            </w:r>
          </w:p>
        </w:tc>
      </w:tr>
      <w:tr w:rsidR="0062688A" w14:paraId="0E7EC353"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1A093FCA" w14:textId="77777777" w:rsidR="0062688A" w:rsidRDefault="00000000">
            <w:pPr>
              <w:jc w:val="both"/>
            </w:pPr>
            <w:r>
              <w:rPr>
                <w:b/>
                <w:bCs/>
                <w:sz w:val="21"/>
                <w:szCs w:val="21"/>
              </w:rPr>
              <w:t>Validación cruzada LOPO</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FE0F22F" w14:textId="77777777" w:rsidR="0062688A" w:rsidRDefault="00000000">
            <w:pPr>
              <w:jc w:val="both"/>
            </w:pPr>
            <w:r>
              <w:rPr>
                <w:sz w:val="21"/>
                <w:szCs w:val="21"/>
              </w:rPr>
              <w:t>Esquema de validación estricta que deja un paciente fuera en cada iteración, evaluando la capacidad de generalización real de los modelos a individuos no vistos durante el entrenamiento.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23B7F20F" w14:textId="77777777" w:rsidR="0062688A" w:rsidRDefault="00000000">
            <w:pPr>
              <w:jc w:val="both"/>
            </w:pPr>
            <w:r>
              <w:rPr>
                <w:i/>
                <w:iCs/>
                <w:color w:val="6B7280"/>
                <w:sz w:val="21"/>
                <w:szCs w:val="21"/>
              </w:rPr>
              <w:t>Evaluación de modelos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2CDDC06" w14:textId="77777777" w:rsidR="0062688A" w:rsidRDefault="00000000">
            <w:pPr>
              <w:jc w:val="center"/>
            </w:pPr>
            <w:r>
              <w:rPr>
                <w:color w:val="1E3A5F"/>
                <w:sz w:val="20"/>
                <w:szCs w:val="20"/>
              </w:rPr>
              <w:t>Caps. 6 y 8</w:t>
            </w:r>
          </w:p>
        </w:tc>
      </w:tr>
      <w:tr w:rsidR="0062688A" w14:paraId="73962989"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30180545" w14:textId="77777777" w:rsidR="0062688A" w:rsidRDefault="00000000">
            <w:pPr>
              <w:jc w:val="both"/>
            </w:pPr>
            <w:r>
              <w:rPr>
                <w:b/>
                <w:bCs/>
                <w:sz w:val="21"/>
                <w:szCs w:val="21"/>
              </w:rPr>
              <w:t>Análisis de curva ROC y precisión-exhaustividad</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48EF1CC" w14:textId="77777777" w:rsidR="0062688A" w:rsidRDefault="00000000">
            <w:pPr>
              <w:jc w:val="both"/>
            </w:pPr>
            <w:r>
              <w:rPr>
                <w:sz w:val="21"/>
                <w:szCs w:val="21"/>
              </w:rPr>
              <w:t>Evaluación del poder discriminativo de los modelos predictivos y definición de umbrales operacionales clínicamente relevantes.</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1ADEEEC3" w14:textId="77777777" w:rsidR="0062688A" w:rsidRDefault="00000000">
            <w:pPr>
              <w:jc w:val="both"/>
            </w:pPr>
            <w:r>
              <w:rPr>
                <w:i/>
                <w:iCs/>
                <w:color w:val="6B7280"/>
                <w:sz w:val="21"/>
                <w:szCs w:val="21"/>
              </w:rPr>
              <w:t>Evaluación de modelos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57A6589" w14:textId="77777777" w:rsidR="0062688A" w:rsidRDefault="00000000">
            <w:pPr>
              <w:jc w:val="center"/>
            </w:pPr>
            <w:r>
              <w:rPr>
                <w:color w:val="1E3A5F"/>
                <w:sz w:val="20"/>
                <w:szCs w:val="20"/>
              </w:rPr>
              <w:t>Caps. 6 y 8</w:t>
            </w:r>
          </w:p>
        </w:tc>
      </w:tr>
      <w:tr w:rsidR="0062688A" w14:paraId="6B26E05E"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2C454D8" w14:textId="77777777" w:rsidR="0062688A" w:rsidRDefault="00000000">
            <w:pPr>
              <w:jc w:val="both"/>
            </w:pPr>
            <w:r>
              <w:rPr>
                <w:b/>
                <w:bCs/>
                <w:sz w:val="21"/>
                <w:szCs w:val="21"/>
              </w:rPr>
              <w:t>Valores de Shapley</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0F7C7D9" w14:textId="77777777" w:rsidR="0062688A" w:rsidRDefault="00000000">
            <w:pPr>
              <w:jc w:val="both"/>
            </w:pPr>
            <w:r>
              <w:rPr>
                <w:sz w:val="21"/>
                <w:szCs w:val="21"/>
              </w:rPr>
              <w:t>Análisis de interpretabilidad del clasificador de riesgo nocturno: identificación de las variables con mayor contribución individual a la predicción en cada paciente.</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CBAA074" w14:textId="77777777" w:rsidR="0062688A" w:rsidRDefault="00000000">
            <w:pPr>
              <w:jc w:val="both"/>
            </w:pPr>
            <w:r>
              <w:rPr>
                <w:i/>
                <w:iCs/>
                <w:color w:val="6B7280"/>
                <w:sz w:val="21"/>
                <w:szCs w:val="21"/>
              </w:rPr>
              <w:t>Interpretabilidad</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EAA6D0F" w14:textId="77777777" w:rsidR="0062688A" w:rsidRDefault="00000000">
            <w:pPr>
              <w:jc w:val="center"/>
            </w:pPr>
            <w:r>
              <w:rPr>
                <w:color w:val="1E3A5F"/>
                <w:sz w:val="20"/>
                <w:szCs w:val="20"/>
              </w:rPr>
              <w:t>Cap. 6</w:t>
            </w:r>
          </w:p>
        </w:tc>
      </w:tr>
      <w:tr w:rsidR="0062688A" w14:paraId="6460672D"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D7A6305" w14:textId="77777777" w:rsidR="0062688A" w:rsidRDefault="00000000">
            <w:pPr>
              <w:jc w:val="both"/>
            </w:pPr>
            <w:r>
              <w:rPr>
                <w:b/>
                <w:bCs/>
                <w:sz w:val="21"/>
                <w:szCs w:val="21"/>
              </w:rPr>
              <w:lastRenderedPageBreak/>
              <w:t>Estudio de ablación</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B358DCE" w14:textId="77777777" w:rsidR="0062688A" w:rsidRDefault="00000000">
            <w:pPr>
              <w:jc w:val="both"/>
            </w:pPr>
            <w:r>
              <w:rPr>
                <w:sz w:val="21"/>
                <w:szCs w:val="21"/>
              </w:rPr>
              <w:t>Evaluación del aporte incremental de cada grupo de variables —estados PAC, dinámicas, morfotipos, índice autonómico, clínicas— a la capacidad predictiva del modelo.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08E139F" w14:textId="77777777" w:rsidR="0062688A" w:rsidRDefault="00000000">
            <w:pPr>
              <w:jc w:val="both"/>
            </w:pPr>
            <w:r>
              <w:rPr>
                <w:i/>
                <w:iCs/>
                <w:color w:val="6B7280"/>
                <w:sz w:val="21"/>
                <w:szCs w:val="21"/>
              </w:rPr>
              <w:t>Evaluación de modelos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59370EF" w14:textId="77777777" w:rsidR="0062688A" w:rsidRDefault="00000000">
            <w:pPr>
              <w:jc w:val="center"/>
            </w:pPr>
            <w:r>
              <w:rPr>
                <w:color w:val="1E3A5F"/>
                <w:sz w:val="20"/>
                <w:szCs w:val="20"/>
              </w:rPr>
              <w:t>Cap. 6</w:t>
            </w:r>
          </w:p>
        </w:tc>
      </w:tr>
      <w:tr w:rsidR="0062688A" w14:paraId="07871939"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163134B" w14:textId="77777777" w:rsidR="0062688A" w:rsidRDefault="00000000">
            <w:pPr>
              <w:jc w:val="both"/>
            </w:pPr>
            <w:r>
              <w:rPr>
                <w:b/>
                <w:bCs/>
                <w:sz w:val="21"/>
                <w:szCs w:val="21"/>
              </w:rPr>
              <w:t>Índice de riesgo compuesto</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0E81E4E" w14:textId="77777777" w:rsidR="0062688A" w:rsidRDefault="00000000">
            <w:pPr>
              <w:jc w:val="both"/>
            </w:pPr>
            <w:r>
              <w:rPr>
                <w:sz w:val="21"/>
                <w:szCs w:val="21"/>
              </w:rPr>
              <w:t>Síntesis de las predicciones a nivel de evento y a nivel de noche en un índice integrado, con ponderación justificada por el poder predictivo diferencial de cada componente.</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3DF6C0E" w14:textId="77777777" w:rsidR="0062688A" w:rsidRDefault="00000000">
            <w:pPr>
              <w:jc w:val="both"/>
            </w:pPr>
            <w:r>
              <w:rPr>
                <w:i/>
                <w:iCs/>
                <w:color w:val="6B7280"/>
                <w:sz w:val="21"/>
                <w:szCs w:val="21"/>
              </w:rPr>
              <w:t>Síntesis predictiva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D412722" w14:textId="77777777" w:rsidR="0062688A" w:rsidRDefault="00000000">
            <w:pPr>
              <w:jc w:val="center"/>
            </w:pPr>
            <w:r>
              <w:rPr>
                <w:color w:val="1E3A5F"/>
                <w:sz w:val="20"/>
                <w:szCs w:val="20"/>
              </w:rPr>
              <w:t>Cap. 6</w:t>
            </w:r>
          </w:p>
        </w:tc>
      </w:tr>
    </w:tbl>
    <w:p w14:paraId="64DF5953" w14:textId="77777777" w:rsidR="0062688A" w:rsidRDefault="0062688A">
      <w:pPr>
        <w:spacing w:before="80"/>
      </w:pPr>
    </w:p>
    <w:p w14:paraId="6772B924" w14:textId="77777777" w:rsidR="0062688A" w:rsidRDefault="00000000">
      <w:pPr>
        <w:pStyle w:val="Ttulo2"/>
      </w:pPr>
      <w:r>
        <w:t>1.11 Estructura general del trabajo final</w:t>
      </w:r>
    </w:p>
    <w:p w14:paraId="37357AD0" w14:textId="77777777" w:rsidR="0062688A" w:rsidRDefault="00000000">
      <w:pPr>
        <w:spacing w:after="160"/>
        <w:ind w:firstLine="720"/>
        <w:jc w:val="both"/>
      </w:pPr>
      <w:r>
        <w:t>El trabajo se organiza en diez capítulos que siguen la narrativa analítica del proyecto, desde la caracterización de los eventos individuales hasta la predicción prospectiva con fines terapéuticos.</w:t>
      </w:r>
    </w:p>
    <w:p w14:paraId="19B54426" w14:textId="77777777" w:rsidR="0062688A" w:rsidRDefault="00000000">
      <w:pPr>
        <w:spacing w:after="160"/>
        <w:ind w:firstLine="720"/>
        <w:jc w:val="both"/>
      </w:pPr>
      <w:r>
        <w:t>El Capítulo 2 presenta el marco teórico: fundamentos clínicos del síndrome de apnea obstructiva del sueño, monitoreo domiciliario mediante oximetría portátil, enfoques para el análisis de series temporales biomédicas y principios del aprendizaje automático aplicado a la salud.</w:t>
      </w:r>
    </w:p>
    <w:p w14:paraId="5A041D53" w14:textId="77777777" w:rsidR="0062688A" w:rsidRDefault="00000000">
      <w:pPr>
        <w:spacing w:after="160"/>
        <w:ind w:firstLine="720"/>
        <w:jc w:val="both"/>
      </w:pPr>
      <w:r>
        <w:t>El Capítulo 3 describe los materiales y la metodología: la cohorte de pacientes y sus características clínicas, el diseño del pipeline PAC_v2 con su arquitectura de procesamiento, las decisiones de control de calidad de señal y los criterios de definición de las cohortes de análisis.</w:t>
      </w:r>
    </w:p>
    <w:p w14:paraId="6AE5E9D8" w14:textId="77777777" w:rsidR="0062688A" w:rsidRDefault="00000000">
      <w:pPr>
        <w:spacing w:after="160"/>
        <w:ind w:firstLine="720"/>
        <w:jc w:val="both"/>
      </w:pPr>
      <w:r>
        <w:t>El Capítulo 4 aborda el análisis de los eventos de desaturación: detección de eventos, fenotipado morfológico mediante agrupamiento no supervisado sobre la curva de saturación, caracterización de los cinco morfotipos y definición y validación del Índice de Respuesta Autonómica.</w:t>
      </w:r>
    </w:p>
    <w:p w14:paraId="1148E481" w14:textId="77777777" w:rsidR="0062688A" w:rsidRDefault="00000000">
      <w:pPr>
        <w:spacing w:after="160"/>
        <w:ind w:firstLine="720"/>
        <w:jc w:val="both"/>
      </w:pPr>
      <w:r>
        <w:t>El Capítulo 5 introduce los estados dinámicos nocturnos: construcción de los estados PAC a tres escalas temporales, análisis de la fisiología característica de cada estado, comparación entre escalas y representación de la noche como trayectoria multiescala.</w:t>
      </w:r>
    </w:p>
    <w:p w14:paraId="3472E508" w14:textId="77777777" w:rsidR="0062688A" w:rsidRDefault="00000000">
      <w:pPr>
        <w:spacing w:after="160"/>
        <w:ind w:firstLine="720"/>
        <w:jc w:val="both"/>
      </w:pPr>
      <w:r>
        <w:t>El Capítulo 6 integra morfotipos y estados para cuantificar el acoplamiento entre contexto dinámico y severidad de evento, construye los modelos predictivos de producción y valida su capacidad de generalización mediante validación cruzada estricta a nivel de paciente.</w:t>
      </w:r>
    </w:p>
    <w:p w14:paraId="36C93847" w14:textId="77777777" w:rsidR="0062688A" w:rsidRDefault="00000000">
      <w:pPr>
        <w:spacing w:after="160"/>
        <w:ind w:firstLine="720"/>
        <w:jc w:val="both"/>
      </w:pPr>
      <w:r>
        <w:t>El Capítulo 7 describe el desarrollo de la aplicación clínica interactiva: su arquitectura, el pipeline de inferencia en tiempo real y las cinco pestañas de análisis con integración de inteligencia artificial para la generación de informes.</w:t>
      </w:r>
    </w:p>
    <w:p w14:paraId="6080C37F" w14:textId="77777777" w:rsidR="0062688A" w:rsidRDefault="00000000">
      <w:pPr>
        <w:spacing w:after="160"/>
        <w:ind w:firstLine="720"/>
        <w:jc w:val="both"/>
      </w:pPr>
      <w:r>
        <w:t>El Capítulo 8 extiende el marco predictivo al dominio prospectivo, presentando el sistema de predicción con margen temporal para la estimulación transcutánea preventiva, su diseño metodológico y los resultados de validación en pacientes independientes.</w:t>
      </w:r>
    </w:p>
    <w:p w14:paraId="46D8D8D2" w14:textId="77777777" w:rsidR="0062688A" w:rsidRDefault="00000000">
      <w:pPr>
        <w:spacing w:after="160"/>
        <w:ind w:firstLine="720"/>
        <w:jc w:val="both"/>
      </w:pPr>
      <w:r>
        <w:lastRenderedPageBreak/>
        <w:t>El Capítulo 9 sitúa el trabajo en la literatura existente, analizando enfoques previos en fenotipado de eventos de desaturación, sistemas de estados dinámicos del sueño y predicción de apnea mediante señales domiciliarias.</w:t>
      </w:r>
    </w:p>
    <w:p w14:paraId="0802C988" w14:textId="77777777" w:rsidR="0062688A" w:rsidRDefault="00000000">
      <w:pPr>
        <w:spacing w:after="160"/>
        <w:ind w:firstLine="720"/>
        <w:jc w:val="both"/>
      </w:pPr>
      <w:r>
        <w:t>El Capítulo 10 sintetiza las conclusiones del trabajo, discute sus limitaciones y propone líneas de investigación futura, incluyendo la extensión de la cohorte, la incorporación de señales adicionales y el desarrollo de estudios multicéntricos.</w:t>
      </w:r>
    </w:p>
    <w:p w14:paraId="6DFA26B1" w14:textId="77777777" w:rsidR="0062688A" w:rsidRDefault="0062688A">
      <w:pPr>
        <w:spacing w:before="200"/>
      </w:pPr>
    </w:p>
    <w:p w14:paraId="30AB4EA9" w14:textId="77777777" w:rsidR="0062688A" w:rsidRDefault="00000000">
      <w:pPr>
        <w:pBdr>
          <w:top w:val="single" w:sz="4" w:space="0" w:color="D1D5DB"/>
        </w:pBdr>
        <w:spacing w:before="320" w:after="80"/>
        <w:jc w:val="right"/>
      </w:pPr>
      <w:r>
        <w:rPr>
          <w:i/>
          <w:iCs/>
          <w:color w:val="6B7280"/>
          <w:sz w:val="18"/>
          <w:szCs w:val="18"/>
        </w:rPr>
        <w:t>Continúa en Capítulo 2 — Marco Teórico</w:t>
      </w:r>
    </w:p>
    <w:sectPr w:rsidR="0062688A">
      <w:headerReference w:type="default" r:id="rId7"/>
      <w:footerReference w:type="default" r:id="rId8"/>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EB33C" w14:textId="77777777" w:rsidR="00C856ED" w:rsidRDefault="00C856ED">
      <w:r>
        <w:separator/>
      </w:r>
    </w:p>
  </w:endnote>
  <w:endnote w:type="continuationSeparator" w:id="0">
    <w:p w14:paraId="481191D6" w14:textId="77777777" w:rsidR="00C856ED" w:rsidRDefault="00C856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B8B4" w14:textId="77777777" w:rsidR="0062688A" w:rsidRDefault="00000000">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sidR="00123B9A">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9CE53" w14:textId="77777777" w:rsidR="00C856ED" w:rsidRDefault="00C856ED">
      <w:r>
        <w:separator/>
      </w:r>
    </w:p>
  </w:footnote>
  <w:footnote w:type="continuationSeparator" w:id="0">
    <w:p w14:paraId="6AFBDD54" w14:textId="77777777" w:rsidR="00C856ED" w:rsidRDefault="00C856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C116E" w14:textId="77777777" w:rsidR="0062688A" w:rsidRDefault="00000000">
    <w:pPr>
      <w:pBdr>
        <w:bottom w:val="single" w:sz="4" w:space="0" w:color="1E3A5F"/>
      </w:pBdr>
      <w:spacing w:after="120"/>
    </w:pPr>
    <w:r>
      <w:rPr>
        <w:color w:val="6B7280"/>
        <w:sz w:val="18"/>
        <w:szCs w:val="18"/>
      </w:rPr>
      <w:t>Proyecto APNEA · Tesis de Maestría</w:t>
    </w:r>
    <w:r>
      <w:rPr>
        <w:i/>
        <w:iCs/>
        <w:color w:val="6B7280"/>
        <w:sz w:val="18"/>
        <w:szCs w:val="18"/>
      </w:rPr>
      <w:t xml:space="preserve">        Capítulo 1 — Introducción  (v03)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1059D"/>
    <w:multiLevelType w:val="hybridMultilevel"/>
    <w:tmpl w:val="1CDEF6DC"/>
    <w:lvl w:ilvl="0" w:tplc="E1C001FE">
      <w:start w:val="1"/>
      <w:numFmt w:val="bullet"/>
      <w:lvlText w:val="•"/>
      <w:lvlJc w:val="left"/>
      <w:pPr>
        <w:spacing w:before="40" w:after="80"/>
        <w:ind w:left="720" w:hanging="360"/>
      </w:pPr>
    </w:lvl>
    <w:lvl w:ilvl="1" w:tplc="BFD86726">
      <w:numFmt w:val="decimal"/>
      <w:lvlText w:val=""/>
      <w:lvlJc w:val="left"/>
    </w:lvl>
    <w:lvl w:ilvl="2" w:tplc="B89E0E50">
      <w:numFmt w:val="decimal"/>
      <w:lvlText w:val=""/>
      <w:lvlJc w:val="left"/>
    </w:lvl>
    <w:lvl w:ilvl="3" w:tplc="673A9626">
      <w:numFmt w:val="decimal"/>
      <w:lvlText w:val=""/>
      <w:lvlJc w:val="left"/>
    </w:lvl>
    <w:lvl w:ilvl="4" w:tplc="DF02E5F8">
      <w:numFmt w:val="decimal"/>
      <w:lvlText w:val=""/>
      <w:lvlJc w:val="left"/>
    </w:lvl>
    <w:lvl w:ilvl="5" w:tplc="11705C1C">
      <w:numFmt w:val="decimal"/>
      <w:lvlText w:val=""/>
      <w:lvlJc w:val="left"/>
    </w:lvl>
    <w:lvl w:ilvl="6" w:tplc="12A49AEE">
      <w:numFmt w:val="decimal"/>
      <w:lvlText w:val=""/>
      <w:lvlJc w:val="left"/>
    </w:lvl>
    <w:lvl w:ilvl="7" w:tplc="2062AEBC">
      <w:numFmt w:val="decimal"/>
      <w:lvlText w:val=""/>
      <w:lvlJc w:val="left"/>
    </w:lvl>
    <w:lvl w:ilvl="8" w:tplc="05C00482">
      <w:numFmt w:val="decimal"/>
      <w:lvlText w:val=""/>
      <w:lvlJc w:val="left"/>
    </w:lvl>
  </w:abstractNum>
  <w:abstractNum w:abstractNumId="1" w15:restartNumberingAfterBreak="0">
    <w:nsid w:val="5C3818A0"/>
    <w:multiLevelType w:val="hybridMultilevel"/>
    <w:tmpl w:val="F3C4701A"/>
    <w:lvl w:ilvl="0" w:tplc="19ECE9AE">
      <w:start w:val="1"/>
      <w:numFmt w:val="bullet"/>
      <w:lvlText w:val="●"/>
      <w:lvlJc w:val="left"/>
      <w:pPr>
        <w:ind w:left="720" w:hanging="360"/>
      </w:pPr>
    </w:lvl>
    <w:lvl w:ilvl="1" w:tplc="5F04746A">
      <w:start w:val="1"/>
      <w:numFmt w:val="bullet"/>
      <w:lvlText w:val="○"/>
      <w:lvlJc w:val="left"/>
      <w:pPr>
        <w:ind w:left="1440" w:hanging="360"/>
      </w:pPr>
    </w:lvl>
    <w:lvl w:ilvl="2" w:tplc="811CAD76">
      <w:start w:val="1"/>
      <w:numFmt w:val="bullet"/>
      <w:lvlText w:val="■"/>
      <w:lvlJc w:val="left"/>
      <w:pPr>
        <w:ind w:left="2160" w:hanging="360"/>
      </w:pPr>
    </w:lvl>
    <w:lvl w:ilvl="3" w:tplc="13ACFB78">
      <w:start w:val="1"/>
      <w:numFmt w:val="bullet"/>
      <w:lvlText w:val="●"/>
      <w:lvlJc w:val="left"/>
      <w:pPr>
        <w:ind w:left="2880" w:hanging="360"/>
      </w:pPr>
    </w:lvl>
    <w:lvl w:ilvl="4" w:tplc="AFDCF7D0">
      <w:start w:val="1"/>
      <w:numFmt w:val="bullet"/>
      <w:lvlText w:val="○"/>
      <w:lvlJc w:val="left"/>
      <w:pPr>
        <w:ind w:left="3600" w:hanging="360"/>
      </w:pPr>
    </w:lvl>
    <w:lvl w:ilvl="5" w:tplc="A282E722">
      <w:start w:val="1"/>
      <w:numFmt w:val="bullet"/>
      <w:lvlText w:val="■"/>
      <w:lvlJc w:val="left"/>
      <w:pPr>
        <w:ind w:left="4320" w:hanging="360"/>
      </w:pPr>
    </w:lvl>
    <w:lvl w:ilvl="6" w:tplc="A6741F00">
      <w:start w:val="1"/>
      <w:numFmt w:val="bullet"/>
      <w:lvlText w:val="●"/>
      <w:lvlJc w:val="left"/>
      <w:pPr>
        <w:ind w:left="5040" w:hanging="360"/>
      </w:pPr>
    </w:lvl>
    <w:lvl w:ilvl="7" w:tplc="A900CF36">
      <w:start w:val="1"/>
      <w:numFmt w:val="bullet"/>
      <w:lvlText w:val="●"/>
      <w:lvlJc w:val="left"/>
      <w:pPr>
        <w:ind w:left="5760" w:hanging="360"/>
      </w:pPr>
    </w:lvl>
    <w:lvl w:ilvl="8" w:tplc="F2E29068">
      <w:start w:val="1"/>
      <w:numFmt w:val="bullet"/>
      <w:lvlText w:val="●"/>
      <w:lvlJc w:val="left"/>
      <w:pPr>
        <w:ind w:left="6480" w:hanging="360"/>
      </w:pPr>
    </w:lvl>
  </w:abstractNum>
  <w:num w:numId="1" w16cid:durableId="1879388859">
    <w:abstractNumId w:val="1"/>
    <w:lvlOverride w:ilvl="0">
      <w:startOverride w:val="1"/>
    </w:lvlOverride>
  </w:num>
  <w:num w:numId="2" w16cid:durableId="19730535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7"/>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88A"/>
    <w:rsid w:val="00123B9A"/>
    <w:rsid w:val="0037714D"/>
    <w:rsid w:val="003B59EA"/>
    <w:rsid w:val="00427CBD"/>
    <w:rsid w:val="0062688A"/>
    <w:rsid w:val="00704613"/>
    <w:rsid w:val="008F132E"/>
    <w:rsid w:val="00C856ED"/>
    <w:rsid w:val="00CA63B0"/>
    <w:rsid w:val="00CE53CE"/>
    <w:rsid w:val="00E82F5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44570AAA"/>
  <w15:docId w15:val="{4B0720B9-8293-F54C-AF97-C81F861A1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1E3A5F"/>
      <w:sz w:val="30"/>
      <w:szCs w:val="30"/>
    </w:rPr>
  </w:style>
  <w:style w:type="paragraph" w:styleId="Ttulo2">
    <w:name w:val="heading 2"/>
    <w:uiPriority w:val="9"/>
    <w:unhideWhenUsed/>
    <w:qFormat/>
    <w:pPr>
      <w:spacing w:before="380" w:after="160"/>
      <w:outlineLvl w:val="1"/>
    </w:pPr>
    <w:rPr>
      <w:b/>
      <w:bCs/>
      <w:color w:val="1E3A5F"/>
      <w:sz w:val="25"/>
      <w:szCs w:val="25"/>
    </w:rPr>
  </w:style>
  <w:style w:type="paragraph" w:styleId="Ttulo3">
    <w:name w:val="heading 3"/>
    <w:uiPriority w:val="9"/>
    <w:unhideWhenUsed/>
    <w:qFormat/>
    <w:pPr>
      <w:spacing w:before="280" w:after="100"/>
      <w:outlineLvl w:val="2"/>
    </w:pPr>
    <w:rPr>
      <w:b/>
      <w:bCs/>
      <w:color w:val="374151"/>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502</TotalTime>
  <Pages>10</Pages>
  <Words>3762</Words>
  <Characters>23025</Characters>
  <Application>Microsoft Office Word</Application>
  <DocSecurity>0</DocSecurity>
  <Lines>561</Lines>
  <Paragraphs>194</Paragraphs>
  <ScaleCrop>false</ScaleCrop>
  <Company/>
  <LinksUpToDate>false</LinksUpToDate>
  <CharactersWithSpaces>26593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9</cp:revision>
  <dcterms:created xsi:type="dcterms:W3CDTF">2026-05-21T00:52:00Z</dcterms:created>
  <dcterms:modified xsi:type="dcterms:W3CDTF">2026-05-21T11:39:00Z</dcterms:modified>
</cp:coreProperties>
</file>