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E483" w14:textId="77777777" w:rsidR="00A129D9" w:rsidRDefault="00000000">
      <w:pPr>
        <w:spacing w:after="40"/>
      </w:pPr>
      <w:r>
        <w:rPr>
          <w:b/>
          <w:bCs/>
          <w:caps/>
          <w:color w:val="6B7280"/>
          <w:sz w:val="20"/>
          <w:szCs w:val="20"/>
        </w:rPr>
        <w:t>CAPÍTULO 1</w:t>
      </w:r>
    </w:p>
    <w:p w14:paraId="22BE6396" w14:textId="77777777" w:rsidR="00A129D9" w:rsidRDefault="00000000">
      <w:pPr>
        <w:spacing w:after="80"/>
      </w:pPr>
      <w:r>
        <w:rPr>
          <w:b/>
          <w:bCs/>
          <w:color w:val="1E3A5F"/>
          <w:sz w:val="36"/>
          <w:szCs w:val="36"/>
        </w:rPr>
        <w:t>Introducción</w:t>
      </w:r>
    </w:p>
    <w:p w14:paraId="7CFF3DD7" w14:textId="743CFABC" w:rsidR="00A129D9" w:rsidRDefault="00000000">
      <w:pPr>
        <w:pBdr>
          <w:bottom w:val="single" w:sz="6" w:space="0" w:color="1E3A5F"/>
        </w:pBdr>
        <w:spacing w:after="400"/>
      </w:pPr>
      <w:r>
        <w:rPr>
          <w:i/>
          <w:iCs/>
          <w:color w:val="6B7280"/>
          <w:sz w:val="18"/>
          <w:szCs w:val="18"/>
        </w:rPr>
        <w:t>Versión 0</w:t>
      </w:r>
      <w:r w:rsidR="00CB045B">
        <w:rPr>
          <w:i/>
          <w:iCs/>
          <w:color w:val="6B7280"/>
          <w:sz w:val="18"/>
          <w:szCs w:val="18"/>
        </w:rPr>
        <w:t>6</w:t>
      </w:r>
      <w:r>
        <w:rPr>
          <w:i/>
          <w:iCs/>
          <w:color w:val="6B7280"/>
          <w:sz w:val="18"/>
          <w:szCs w:val="18"/>
        </w:rPr>
        <w:t xml:space="preserve">  ·  Mayo 2026</w:t>
      </w:r>
    </w:p>
    <w:p w14:paraId="66F464D4" w14:textId="77777777" w:rsidR="00A129D9" w:rsidRDefault="00000000">
      <w:pPr>
        <w:pStyle w:val="Ttulo2"/>
      </w:pPr>
      <w:r>
        <w:t>1.1 Problema de investigación</w:t>
      </w:r>
    </w:p>
    <w:p w14:paraId="48CCFF4B" w14:textId="77777777" w:rsidR="00A129D9" w:rsidRDefault="00000000">
      <w:pPr>
        <w:spacing w:after="160"/>
        <w:ind w:firstLine="720"/>
        <w:jc w:val="both"/>
      </w:pPr>
      <w:r>
        <w:t>El síndrome de apnea obstructiva del sueño es uno de los trastornos respiratorios más prevalentes en la población adulta y, al mismo tiempo, uno de los más subdiagnosticados (Benjafield et al., 2019). Su evaluación clínica se apoya habitualmente en índices agregados derivados de estudios de sueño, como el índice de apnea-hipopnea, el índice de desaturación de oxígeno y el tiempo con saturación por debajo de un umbral (T90), cuyas definiciones han sido estandarizadas por consensos internacionales de la especialidad (Berry et al., 2012). Estos indicadores condensan en un único valor resumen la actividad respiratoria de una noche completa, lo que los hace útiles para la clasificación inicial del paciente pero insuficientes para describir la complejidad del fenómeno.</w:t>
      </w:r>
    </w:p>
    <w:p w14:paraId="7B6AB7C2" w14:textId="77777777" w:rsidR="00A129D9" w:rsidRDefault="00000000">
      <w:pPr>
        <w:spacing w:after="160"/>
        <w:ind w:firstLine="720"/>
        <w:jc w:val="both"/>
      </w:pPr>
      <w:r>
        <w:t>La limitación principal de estos índices reside en que no capturan la dinámica temporal de los eventos respiratorios ni la heterogeneidad intranoche. Un mismo valor del índice de desaturación puede corresponder a noches con perfiles fisiológicos muy distintos: una noche con pocos eventos de gran profundidad y duración difiere sustancialmente de otra con muchos eventos superficiales y breves, aun cuando ambas produzcan idénticos valores en el índice de frecuencia. Esta simplificación condiciona la comprensión de la variabilidad clínica del síndrome y restringe la exploración de fenotipos y patrones fisiológicos latentes que los índices clásicos, por construcción, no pueden revelar (Malhotra et al., 2021).</w:t>
      </w:r>
    </w:p>
    <w:p w14:paraId="481893AC" w14:textId="77777777" w:rsidR="00A129D9" w:rsidRDefault="00000000">
      <w:pPr>
        <w:spacing w:after="160"/>
        <w:ind w:firstLine="720"/>
        <w:jc w:val="both"/>
      </w:pPr>
      <w:r>
        <w:t>En paralelo, la creciente disponibilidad de sensores portátiles domiciliarios ha permitido registrar de forma continua variables fisiológicas —saturación de oxígeno, frecuencia cardíaca y movimiento corporal— durante el sueño, fuera del laboratorio y a lo largo de múltiples noches consecutivas (Kapur et al., 2017).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14:paraId="71E6139C" w14:textId="75C7203A" w:rsidR="00A129D9" w:rsidRDefault="00000000">
      <w:pPr>
        <w:spacing w:after="160"/>
        <w:ind w:firstLine="720"/>
        <w:jc w:val="both"/>
      </w:pPr>
      <w:r>
        <w:t>El problema central que motiva este trabajo es, en consecuencia, doble: la necesidad metodológica de desarrollar herramientas reproducibles para el análisis estructurado de series temporales fisiológicas nocturnas</w:t>
      </w:r>
      <w:r w:rsidR="00465338">
        <w:t xml:space="preserve">, </w:t>
      </w:r>
      <w:r>
        <w:t>desde la detección de eventos individuales de desaturación hasta la identificación de patrones dinámicos que organizan la noche como un todo</w:t>
      </w:r>
      <w:r w:rsidR="00465338">
        <w:t>,</w:t>
      </w:r>
      <w:r>
        <w:t xml:space="preserve"> y la necesidad clínica de transformar esa información en representaciones interpretables que sean de utilidad práctica en la evaluación y seguimiento de pacientes.</w:t>
      </w:r>
    </w:p>
    <w:p w14:paraId="15654844" w14:textId="02469A9C" w:rsidR="001919A7" w:rsidRPr="001919A7" w:rsidRDefault="001919A7" w:rsidP="001919A7">
      <w:pPr>
        <w:pStyle w:val="p1"/>
        <w:jc w:val="both"/>
        <w:rPr>
          <w:rFonts w:ascii="Arial" w:hAnsi="Arial" w:cs="Arial"/>
          <w:sz w:val="22"/>
          <w:szCs w:val="22"/>
        </w:rPr>
      </w:pPr>
      <w:r>
        <w:rPr>
          <w:rFonts w:ascii="Arial" w:hAnsi="Arial" w:cs="Arial"/>
          <w:sz w:val="22"/>
          <w:szCs w:val="22"/>
        </w:rPr>
        <w:tab/>
      </w:r>
      <w:r w:rsidRPr="001919A7">
        <w:rPr>
          <w:rFonts w:ascii="Arial" w:hAnsi="Arial" w:cs="Arial"/>
          <w:sz w:val="22"/>
          <w:szCs w:val="22"/>
        </w:rPr>
        <w:t>En este contexto, el trabajo se desarrolla sobre registros domiciliarios longitudinales multinocturnos, en los que cada paciente aporta múltiples noches consecutivas de señales fisiológicas continuas. Esta estructura genera un volumen de datos considerable, compuesto por series temporales extensas, ventanas sucesivas de análisis y numerosos eventos de desaturación, lo que justifica el uso de un enfoque sistemático de Ciencia de Datos para transformar la señal cruda en información clínica interpretable.</w:t>
      </w:r>
    </w:p>
    <w:p w14:paraId="065DB2B6" w14:textId="77777777" w:rsidR="001919A7" w:rsidRDefault="001919A7">
      <w:pPr>
        <w:spacing w:after="160"/>
        <w:ind w:firstLine="720"/>
        <w:jc w:val="both"/>
      </w:pPr>
    </w:p>
    <w:p w14:paraId="228B379E" w14:textId="77777777" w:rsidR="00A129D9" w:rsidRDefault="00000000">
      <w:pPr>
        <w:pStyle w:val="Ttulo2"/>
      </w:pPr>
      <w:r>
        <w:t>1.2 Vinculación con el ámbito laboral</w:t>
      </w:r>
    </w:p>
    <w:p w14:paraId="51E16A1C" w14:textId="4B698D17" w:rsidR="00A129D9" w:rsidRDefault="00000000">
      <w:pPr>
        <w:spacing w:after="160"/>
        <w:ind w:firstLine="720"/>
        <w:jc w:val="both"/>
      </w:pPr>
      <w:r>
        <w:lastRenderedPageBreak/>
        <w:t>El monitoreo domiciliario nocturno mediante oximetría portátil es una herramienta de uso habitual en la práctica médica privada dedicada a la evaluación de pacientes con trastornos respiratorios del sueño: permite obtener registros continuos de saturación de oxígeno, frecuencia cardíaca y movimiento en condiciones reales de vida del paciente, a lo largo de múltiples noches consecutivas y sin las restricciones logísticas del laboratorio de sueño</w:t>
      </w:r>
      <w:r w:rsidR="00465338" w:rsidRPr="003A17DA">
        <w:rPr>
          <w:sz w:val="21"/>
          <w:szCs w:val="21"/>
        </w:rPr>
        <w:t xml:space="preserve"> </w:t>
      </w:r>
      <w:r w:rsidR="003A17DA" w:rsidRPr="003A17DA">
        <w:rPr>
          <w:sz w:val="21"/>
          <w:szCs w:val="21"/>
        </w:rPr>
        <w:t>(Yoon &amp; Choi, 2023)</w:t>
      </w:r>
      <w:r>
        <w:t>. Sin embargo, los dispositivos disponibles reducen automáticamente toda esa riqueza temporal a unos pocos índices agregados.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14:paraId="4FB09979" w14:textId="5734322D" w:rsidR="00A129D9" w:rsidRDefault="00000000">
      <w:pPr>
        <w:spacing w:after="160"/>
        <w:ind w:firstLine="720"/>
        <w:jc w:val="both"/>
      </w:pPr>
      <w:r>
        <w:t xml:space="preserve">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w:t>
      </w:r>
      <w:r w:rsidR="0018718B">
        <w:t>escalable a cohortes de mayor tamaño y potencialmente adaptable a escenarios de análisis en tiempo real</w:t>
      </w:r>
      <w:r>
        <w:t>, contribuyendo al avance del conocimiento en el análisis de trastornos del sueño basado en datos.</w:t>
      </w:r>
    </w:p>
    <w:p w14:paraId="44FCA6FA" w14:textId="77777777" w:rsidR="00A129D9" w:rsidRDefault="00000000">
      <w:pPr>
        <w:pStyle w:val="Ttulo2"/>
      </w:pPr>
      <w:r>
        <w:t>1.3 Solución al problema identificado</w:t>
      </w:r>
    </w:p>
    <w:p w14:paraId="2B9E8D81" w14:textId="629CE181" w:rsidR="00A129D9" w:rsidRDefault="00000000">
      <w:pPr>
        <w:spacing w:after="160"/>
        <w:ind w:firstLine="720"/>
        <w:jc w:val="both"/>
      </w:pPr>
      <w:r>
        <w:t xml:space="preserve">El Proyecto de Análisis Continuo (PAC)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frecuencia cardíaca y movimiento corporal, registradas con alta resolución temporal, aplicando técnicas propias de la Ciencia de Datos y del análisis de señales biomédicas. El pipeline resultante, denominado </w:t>
      </w:r>
      <w:r>
        <w:rPr>
          <w:b/>
          <w:bCs/>
        </w:rPr>
        <w:t>PAC_v3</w:t>
      </w:r>
      <w:r>
        <w:t>, transforma registros crudos en representaciones estructuradas y trazables a través de cuatro zonas de procesamiento</w:t>
      </w:r>
      <w:r w:rsidR="00465338">
        <w:t xml:space="preserve">, </w:t>
      </w:r>
      <w:r>
        <w:t>Bronze, Silver, Eventos y Gold</w:t>
      </w:r>
      <w:r w:rsidR="00465338">
        <w:t>,</w:t>
      </w:r>
      <w:r>
        <w:t xml:space="preserve"> que cubren desde la canonización de la señal hasta la generación de tablas consolidadas listas para el análisis y el modelado.</w:t>
      </w:r>
    </w:p>
    <w:p w14:paraId="7CA748AE" w14:textId="433E70F7" w:rsidR="00A129D9" w:rsidRPr="007D194B" w:rsidRDefault="0018718B" w:rsidP="00CE59C9">
      <w:pPr>
        <w:pStyle w:val="p1"/>
        <w:jc w:val="both"/>
        <w:rPr>
          <w:rFonts w:ascii="Arial" w:hAnsi="Arial" w:cs="Arial"/>
          <w:sz w:val="22"/>
          <w:szCs w:val="22"/>
        </w:rPr>
      </w:pPr>
      <w:r>
        <w:rPr>
          <w:rFonts w:ascii="Arial" w:hAnsi="Arial" w:cs="Arial"/>
          <w:sz w:val="22"/>
          <w:szCs w:val="22"/>
        </w:rPr>
        <w:tab/>
      </w:r>
      <w:r w:rsidR="00000000" w:rsidRPr="007D194B">
        <w:rPr>
          <w:rFonts w:ascii="Arial" w:hAnsi="Arial" w:cs="Arial"/>
          <w:sz w:val="22"/>
          <w:szCs w:val="22"/>
        </w:rPr>
        <w:t xml:space="preserve">El enfoque se articula en una arquitectura analítica progresiva que avanza desde los eventos individuales hacia la estructura global de la noche. En primer lugar, se define y caracteriza el </w:t>
      </w:r>
      <w:r w:rsidR="00000000" w:rsidRPr="007D194B">
        <w:rPr>
          <w:rFonts w:ascii="Arial" w:hAnsi="Arial" w:cs="Arial"/>
          <w:b/>
          <w:bCs/>
          <w:sz w:val="22"/>
          <w:szCs w:val="22"/>
        </w:rPr>
        <w:t>Evento de Desaturación de Oxígeno</w:t>
      </w:r>
      <w:r w:rsidR="00000000" w:rsidRPr="007D194B">
        <w:rPr>
          <w:rFonts w:ascii="Arial" w:hAnsi="Arial" w:cs="Arial"/>
          <w:sz w:val="22"/>
          <w:szCs w:val="22"/>
        </w:rPr>
        <w:t xml:space="preserve"> (EDO) como unidad fisiológica elemental: la curva completa de cada evento es analizada mediante agrupamiento no supervisado, </w:t>
      </w:r>
      <w:r w:rsidR="00CE59C9" w:rsidRPr="007D194B">
        <w:rPr>
          <w:rFonts w:ascii="Arial" w:hAnsi="Arial" w:cs="Arial"/>
          <w:sz w:val="22"/>
          <w:szCs w:val="22"/>
        </w:rPr>
        <w:t>identificando cinco morfotipos que, en este trabajo, se analizan como patrones recurrentes de la morfología de los eventos</w:t>
      </w:r>
      <w:r w:rsidR="00000000" w:rsidRPr="007D194B">
        <w:rPr>
          <w:rFonts w:ascii="Arial" w:hAnsi="Arial" w:cs="Arial"/>
          <w:sz w:val="22"/>
          <w:szCs w:val="22"/>
        </w:rPr>
        <w:t xml:space="preserve"> </w:t>
      </w:r>
      <w:r w:rsidR="00465338" w:rsidRPr="007D194B">
        <w:rPr>
          <w:rFonts w:ascii="Arial" w:hAnsi="Arial" w:cs="Arial"/>
          <w:sz w:val="22"/>
          <w:szCs w:val="22"/>
        </w:rPr>
        <w:t>(</w:t>
      </w:r>
      <w:r w:rsidR="00000000" w:rsidRPr="007D194B">
        <w:rPr>
          <w:rFonts w:ascii="Arial" w:hAnsi="Arial" w:cs="Arial"/>
          <w:sz w:val="22"/>
          <w:szCs w:val="22"/>
        </w:rPr>
        <w:t>C1 a C5</w:t>
      </w:r>
      <w:r w:rsidR="00465338" w:rsidRPr="007D194B">
        <w:rPr>
          <w:rFonts w:ascii="Arial" w:hAnsi="Arial" w:cs="Arial"/>
          <w:sz w:val="22"/>
          <w:szCs w:val="22"/>
        </w:rPr>
        <w:t>)</w:t>
      </w:r>
      <w:r w:rsidR="00000000" w:rsidRPr="007D194B">
        <w:rPr>
          <w:rFonts w:ascii="Arial" w:hAnsi="Arial" w:cs="Arial"/>
          <w:sz w:val="22"/>
          <w:szCs w:val="22"/>
        </w:rPr>
        <w:t xml:space="preserve"> que difieren en profundidad, duración, dinámica de recuperación y carga hipóxica acumulada. A esta caracterización morfológica se suma el desarrollo del </w:t>
      </w:r>
      <w:r w:rsidR="00000000" w:rsidRPr="007D194B">
        <w:rPr>
          <w:rFonts w:ascii="Arial" w:hAnsi="Arial" w:cs="Arial"/>
          <w:b/>
          <w:bCs/>
          <w:sz w:val="22"/>
          <w:szCs w:val="22"/>
        </w:rPr>
        <w:t>Índice de Respuesta Autonómica</w:t>
      </w:r>
      <w:r w:rsidR="00000000" w:rsidRPr="007D194B">
        <w:rPr>
          <w:rFonts w:ascii="Arial" w:hAnsi="Arial" w:cs="Arial"/>
          <w:sz w:val="22"/>
          <w:szCs w:val="22"/>
        </w:rPr>
        <w:t xml:space="preserve"> (ARI), </w:t>
      </w:r>
      <w:r w:rsidR="00CE59C9" w:rsidRPr="007D194B">
        <w:rPr>
          <w:rFonts w:ascii="Arial" w:hAnsi="Arial" w:cs="Arial"/>
          <w:sz w:val="22"/>
          <w:szCs w:val="22"/>
        </w:rPr>
        <w:t xml:space="preserve">que busca cuantificar la respuesta cardíaca relativa frente a la caída de saturación y se evalúa como una dimensión fisiológica complementaria a los índices clásicos </w:t>
      </w:r>
      <w:r w:rsidR="00000000" w:rsidRPr="007D194B">
        <w:rPr>
          <w:rFonts w:ascii="Arial" w:hAnsi="Arial" w:cs="Arial"/>
          <w:sz w:val="22"/>
          <w:szCs w:val="22"/>
        </w:rPr>
        <w:t>de severidad.</w:t>
      </w:r>
    </w:p>
    <w:p w14:paraId="389C2B9B" w14:textId="002E100F" w:rsidR="00A129D9" w:rsidRDefault="00000000">
      <w:pPr>
        <w:spacing w:after="160"/>
        <w:ind w:firstLine="720"/>
        <w:jc w:val="both"/>
      </w:pPr>
      <w:r>
        <w:t>En segundo lugar, el marco incorpora un sistema de estados dinámicos</w:t>
      </w:r>
      <w:r w:rsidR="00465338">
        <w:t xml:space="preserve">, </w:t>
      </w:r>
      <w:r>
        <w:t xml:space="preserve">denominados </w:t>
      </w:r>
      <w:r w:rsidRPr="00465338">
        <w:rPr>
          <w:b/>
          <w:bCs/>
        </w:rPr>
        <w:t>estados PAC</w:t>
      </w:r>
      <w:r w:rsidR="00465338">
        <w:t>,</w:t>
      </w:r>
      <w:r>
        <w:t xml:space="preserve"> que modela la estructura temporal de la noche a tres escalas simultáneas: corta, media y larga.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14:paraId="5A419E77" w14:textId="0CB0A735" w:rsidR="00A129D9" w:rsidRPr="007D194B" w:rsidRDefault="007D194B" w:rsidP="00CE59C9">
      <w:pPr>
        <w:pStyle w:val="p1"/>
        <w:jc w:val="both"/>
        <w:rPr>
          <w:rFonts w:ascii="Arial" w:hAnsi="Arial" w:cs="Arial"/>
          <w:sz w:val="22"/>
          <w:szCs w:val="22"/>
        </w:rPr>
      </w:pPr>
      <w:r>
        <w:rPr>
          <w:rFonts w:ascii="Arial" w:hAnsi="Arial" w:cs="Arial"/>
          <w:sz w:val="22"/>
          <w:szCs w:val="22"/>
        </w:rPr>
        <w:lastRenderedPageBreak/>
        <w:tab/>
      </w:r>
      <w:r w:rsidRPr="007D194B">
        <w:rPr>
          <w:rFonts w:ascii="Arial" w:hAnsi="Arial" w:cs="Arial"/>
          <w:sz w:val="22"/>
          <w:szCs w:val="22"/>
        </w:rPr>
        <w:t xml:space="preserve">Sobre esta base representacional </w:t>
      </w:r>
      <w:r w:rsidR="00066A8C">
        <w:rPr>
          <w:rFonts w:ascii="Arial" w:hAnsi="Arial" w:cs="Arial"/>
          <w:sz w:val="22"/>
          <w:szCs w:val="22"/>
        </w:rPr>
        <w:t>se exploran modelos de predicción orientados a estimar la severidad de los eventos y el riesgo nocturno del paciente.</w:t>
      </w:r>
      <w:r w:rsidRPr="007D194B">
        <w:rPr>
          <w:rFonts w:ascii="Arial" w:hAnsi="Arial" w:cs="Arial"/>
          <w:sz w:val="22"/>
          <w:szCs w:val="22"/>
        </w:rPr>
        <w:t xml:space="preserve"> </w:t>
      </w:r>
      <w:r w:rsidR="00CE59C9" w:rsidRPr="007D194B">
        <w:rPr>
          <w:rFonts w:ascii="Arial" w:hAnsi="Arial" w:cs="Arial"/>
          <w:sz w:val="22"/>
          <w:szCs w:val="22"/>
        </w:rPr>
        <w:t>El marco se proyecta hacia una aplicación clínica interactiva</w:t>
      </w:r>
      <w:r w:rsidRPr="007D194B">
        <w:rPr>
          <w:rFonts w:ascii="Arial" w:hAnsi="Arial" w:cs="Arial"/>
          <w:sz w:val="22"/>
          <w:szCs w:val="22"/>
        </w:rPr>
        <w:t xml:space="preserve"> que ejecuta todo el pipeline de inferencia sobre un registro domiciliario nuevo y </w:t>
      </w:r>
      <w:r w:rsidR="00CE59C9" w:rsidRPr="007D194B">
        <w:rPr>
          <w:rFonts w:ascii="Arial" w:hAnsi="Arial" w:cs="Arial"/>
          <w:sz w:val="22"/>
          <w:szCs w:val="22"/>
        </w:rPr>
        <w:t>permite generar un análisis estructurado</w:t>
      </w:r>
      <w:r w:rsidRPr="007D194B">
        <w:rPr>
          <w:rFonts w:ascii="Arial" w:hAnsi="Arial" w:cs="Arial"/>
          <w:sz w:val="22"/>
          <w:szCs w:val="22"/>
        </w:rPr>
        <w:t xml:space="preserve">: morfotipos de eventos, estados PAC, índice de riesgo integrado e informe generado con asistencia de inteligencia artificial. El último componente extiende la capacidad predictiva al dominio prospectivo: dada la actividad fisiológica reciente del paciente, el sistema </w:t>
      </w:r>
      <w:r w:rsidR="00CE59C9" w:rsidRPr="007D194B">
        <w:rPr>
          <w:rFonts w:ascii="Arial" w:hAnsi="Arial" w:cs="Arial"/>
          <w:sz w:val="22"/>
          <w:szCs w:val="22"/>
        </w:rPr>
        <w:t>explora la posibilidad de estimar el riesgo de ocurrencia de eventos severos en ventanas temporales futuras, como base potencial para estrategias preventivas</w:t>
      </w:r>
      <w:r w:rsidRPr="007D194B">
        <w:rPr>
          <w:rFonts w:ascii="Arial" w:hAnsi="Arial" w:cs="Arial"/>
          <w:sz w:val="22"/>
          <w:szCs w:val="22"/>
        </w:rPr>
        <w:t xml:space="preserve"> como la estimulación transcutánea.</w:t>
      </w:r>
    </w:p>
    <w:p w14:paraId="22692E2C" w14:textId="77777777" w:rsidR="00A129D9" w:rsidRDefault="00000000">
      <w:pPr>
        <w:pStyle w:val="Ttulo2"/>
      </w:pPr>
      <w:r>
        <w:t>1.4 Aplicaciones prácticas</w:t>
      </w:r>
    </w:p>
    <w:p w14:paraId="381D19E3" w14:textId="77777777" w:rsidR="00A129D9" w:rsidRDefault="00000000">
      <w:pPr>
        <w:spacing w:after="160"/>
        <w:ind w:firstLine="720"/>
        <w:jc w:val="both"/>
      </w:pPr>
      <w:r>
        <w:t xml:space="preserve">Las aplicaciones del Proyecto de Análisis Continuo se proyectan en tres planos complementarios: el </w:t>
      </w:r>
      <w:r w:rsidRPr="00465338">
        <w:rPr>
          <w:i/>
          <w:iCs/>
        </w:rPr>
        <w:t>clínico, el metodológico y el científico</w:t>
      </w:r>
      <w:r>
        <w:t>.</w:t>
      </w:r>
    </w:p>
    <w:p w14:paraId="4F76F361" w14:textId="382EF045" w:rsidR="00A129D9" w:rsidRPr="007D194B" w:rsidRDefault="007D194B" w:rsidP="00721BE2">
      <w:pPr>
        <w:pStyle w:val="p1"/>
        <w:jc w:val="both"/>
        <w:rPr>
          <w:rFonts w:ascii="Arial" w:hAnsi="Arial" w:cs="Arial"/>
          <w:sz w:val="22"/>
          <w:szCs w:val="22"/>
        </w:rPr>
      </w:pPr>
      <w:r>
        <w:rPr>
          <w:rFonts w:ascii="Arial" w:hAnsi="Arial" w:cs="Arial"/>
          <w:sz w:val="22"/>
          <w:szCs w:val="22"/>
        </w:rPr>
        <w:tab/>
      </w:r>
      <w:r w:rsidRPr="007D194B">
        <w:rPr>
          <w:rFonts w:ascii="Arial" w:hAnsi="Arial" w:cs="Arial"/>
          <w:sz w:val="22"/>
          <w:szCs w:val="22"/>
        </w:rPr>
        <w:t xml:space="preserve">En el plano </w:t>
      </w:r>
      <w:r w:rsidRPr="007D194B">
        <w:rPr>
          <w:rFonts w:ascii="Arial" w:hAnsi="Arial" w:cs="Arial"/>
          <w:b/>
          <w:bCs/>
          <w:sz w:val="22"/>
          <w:szCs w:val="22"/>
        </w:rPr>
        <w:t>clínico</w:t>
      </w:r>
      <w:r w:rsidRPr="007D194B">
        <w:rPr>
          <w:rFonts w:ascii="Arial" w:hAnsi="Arial" w:cs="Arial"/>
          <w:sz w:val="22"/>
          <w:szCs w:val="22"/>
        </w:rPr>
        <w:t xml:space="preserve">,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w:t>
      </w:r>
      <w:r w:rsidR="00721BE2" w:rsidRPr="007D194B">
        <w:rPr>
          <w:rFonts w:ascii="Arial" w:hAnsi="Arial" w:cs="Arial"/>
          <w:sz w:val="22"/>
          <w:szCs w:val="22"/>
        </w:rPr>
        <w:t>podría aportar información complementaria para la toma de decisiones terapéuticas</w:t>
      </w:r>
      <w:r w:rsidRPr="007D194B">
        <w:rPr>
          <w:rFonts w:ascii="Arial" w:hAnsi="Arial" w:cs="Arial"/>
          <w:sz w:val="22"/>
          <w:szCs w:val="22"/>
        </w:rPr>
        <w:t xml:space="preserve"> y </w:t>
      </w:r>
      <w:r w:rsidR="00721BE2" w:rsidRPr="007D194B">
        <w:rPr>
          <w:rFonts w:ascii="Arial" w:hAnsi="Arial" w:cs="Arial"/>
          <w:sz w:val="22"/>
          <w:szCs w:val="22"/>
        </w:rPr>
        <w:t>facilita</w:t>
      </w:r>
      <w:r w:rsidRPr="007D194B">
        <w:rPr>
          <w:rFonts w:ascii="Arial" w:hAnsi="Arial" w:cs="Arial"/>
          <w:sz w:val="22"/>
          <w:szCs w:val="22"/>
        </w:rPr>
        <w:t xml:space="preserve"> el seguimiento longitudinal noche a noche. En el horizonte de mayor impacto clínico, </w:t>
      </w:r>
      <w:r w:rsidR="00721BE2" w:rsidRPr="007D194B">
        <w:rPr>
          <w:rFonts w:ascii="Arial" w:hAnsi="Arial" w:cs="Arial"/>
          <w:sz w:val="22"/>
          <w:szCs w:val="22"/>
        </w:rPr>
        <w:t>la predicción prospectiva podría constituir una línea futura para evaluar estrategias de intervención preventiva, como dispositivos de estimulación transcutánea</w:t>
      </w:r>
      <w:r w:rsidRPr="007D194B">
        <w:rPr>
          <w:rFonts w:ascii="Arial" w:hAnsi="Arial" w:cs="Arial"/>
          <w:sz w:val="22"/>
          <w:szCs w:val="22"/>
        </w:rPr>
        <w:t xml:space="preserve"> con antelación suficiente para prevenir o atenuar los eventos hipóxicos más severos, transitando desde el análisis retrospectivo hacia una medicina del sueño activa y personalizada.</w:t>
      </w:r>
    </w:p>
    <w:p w14:paraId="2163A8E1" w14:textId="77777777" w:rsidR="00A129D9" w:rsidRDefault="00000000">
      <w:pPr>
        <w:spacing w:after="160"/>
        <w:ind w:firstLine="720"/>
        <w:jc w:val="both"/>
      </w:pPr>
      <w:r>
        <w:t xml:space="preserve">En el plano </w:t>
      </w:r>
      <w:r w:rsidRPr="00465338">
        <w:rPr>
          <w:b/>
          <w:bCs/>
        </w:rPr>
        <w:t>metodológico</w:t>
      </w:r>
      <w:r>
        <w:t xml:space="preserve">, el pipeline </w:t>
      </w:r>
      <w:r w:rsidRPr="002819B2">
        <w:rPr>
          <w:b/>
          <w:bCs/>
        </w:rPr>
        <w:t>PAC_v3</w:t>
      </w:r>
      <w:r>
        <w:t xml:space="preserve"> constituye un ejemplo concreto de los desafíos del análisis de datos biomédicos reales: series temporales largas, multivariadas, no estacionarias y con estructura longitudinal compleja. La metodología desarrollada —que incluye control de calidad de señal, definición explícita de eventos, fenotipado no supervisado, modelado multiescala y validación estricta— es transferible a otros dominios de monitoreo continuo en salud y puede adaptarse a registros con mayor riqueza de señales, como la polisomnografía completa o el electrocardiograma de larga duración.</w:t>
      </w:r>
    </w:p>
    <w:p w14:paraId="07529503" w14:textId="77777777" w:rsidR="00A129D9" w:rsidRDefault="00000000">
      <w:pPr>
        <w:spacing w:after="160"/>
        <w:ind w:firstLine="720"/>
        <w:jc w:val="both"/>
      </w:pPr>
      <w:r>
        <w:t xml:space="preserve">En el plano </w:t>
      </w:r>
      <w:r w:rsidRPr="00465338">
        <w:rPr>
          <w:b/>
          <w:bCs/>
        </w:rPr>
        <w:t>científico</w:t>
      </w:r>
      <w:r>
        <w:t>, el marco propuesto habilita la generación de métricas comparables entre estudios, el análisis de variabilidad longitudinal intraindividual y la formulación de hipótesis sobre la heterogeneidad fisiopatológica del síndrome.</w:t>
      </w:r>
    </w:p>
    <w:p w14:paraId="062B3C55" w14:textId="77777777" w:rsidR="00A129D9" w:rsidRDefault="00000000">
      <w:pPr>
        <w:pStyle w:val="Ttulo2"/>
      </w:pPr>
      <w:r>
        <w:t>1.5 Resumen de problemas y soluciones</w:t>
      </w:r>
    </w:p>
    <w:p w14:paraId="43B62ABF"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A129D9" w14:paraId="03D6E1BB"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E92BF1F" w14:textId="77777777" w:rsidR="00A129D9" w:rsidRDefault="00000000">
            <w:pPr>
              <w:jc w:val="center"/>
            </w:pPr>
            <w:r>
              <w:rPr>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EBAEB05" w14:textId="77777777" w:rsidR="00A129D9" w:rsidRDefault="00000000">
            <w:pPr>
              <w:jc w:val="center"/>
            </w:pPr>
            <w:r>
              <w:rPr>
                <w:b/>
                <w:bCs/>
                <w:color w:val="1E3A5F"/>
                <w:sz w:val="20"/>
                <w:szCs w:val="20"/>
              </w:rPr>
              <w:t>Solución propuesta</w:t>
            </w:r>
          </w:p>
        </w:tc>
      </w:tr>
      <w:tr w:rsidR="00A129D9" w14:paraId="3CE378D6"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59E7E46" w14:textId="77777777" w:rsidR="00A129D9" w:rsidRDefault="00000000">
            <w:pPr>
              <w:jc w:val="both"/>
            </w:pPr>
            <w:r>
              <w:rPr>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5F3E3E" w14:textId="77777777" w:rsidR="00A129D9" w:rsidRDefault="00000000">
            <w:pPr>
              <w:jc w:val="both"/>
            </w:pPr>
            <w:r>
              <w:rPr>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A129D9" w14:paraId="26542164"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9F78F0" w14:textId="77777777" w:rsidR="00A129D9" w:rsidRDefault="00000000">
            <w:pPr>
              <w:jc w:val="both"/>
            </w:pPr>
            <w:r>
              <w:rPr>
                <w:sz w:val="21"/>
                <w:szCs w:val="21"/>
              </w:rPr>
              <w:t xml:space="preserve">No existe una métrica que capture la respuesta autonómica al evento </w:t>
            </w:r>
            <w:r>
              <w:rPr>
                <w:sz w:val="21"/>
                <w:szCs w:val="21"/>
              </w:rPr>
              <w:lastRenderedPageBreak/>
              <w:t>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EF8F2A" w14:textId="49E041DD" w:rsidR="00A129D9" w:rsidRPr="00C4532F" w:rsidRDefault="00000000" w:rsidP="00C4532F">
            <w:pPr>
              <w:pStyle w:val="p1"/>
              <w:jc w:val="both"/>
              <w:rPr>
                <w:rFonts w:ascii="Arial" w:hAnsi="Arial" w:cs="Arial"/>
                <w:sz w:val="22"/>
                <w:szCs w:val="22"/>
              </w:rPr>
            </w:pPr>
            <w:r w:rsidRPr="00C4532F">
              <w:rPr>
                <w:rFonts w:ascii="Arial" w:hAnsi="Arial" w:cs="Arial"/>
                <w:sz w:val="22"/>
                <w:szCs w:val="22"/>
              </w:rPr>
              <w:lastRenderedPageBreak/>
              <w:t xml:space="preserve">Definición del Índice de Respuesta Autonómica, </w:t>
            </w:r>
            <w:r w:rsidR="00C4532F" w:rsidRPr="00C4532F">
              <w:rPr>
                <w:rFonts w:ascii="Arial" w:hAnsi="Arial" w:cs="Arial"/>
                <w:sz w:val="22"/>
                <w:szCs w:val="22"/>
              </w:rPr>
              <w:t xml:space="preserve">evaluado como dimensión complementaria y </w:t>
            </w:r>
            <w:r w:rsidR="00C4532F" w:rsidRPr="00C4532F">
              <w:rPr>
                <w:rFonts w:ascii="Arial" w:hAnsi="Arial" w:cs="Arial"/>
                <w:sz w:val="22"/>
                <w:szCs w:val="22"/>
              </w:rPr>
              <w:lastRenderedPageBreak/>
              <w:t>parcialmente independiente de los índices clásicos</w:t>
            </w:r>
            <w:r w:rsidRPr="00C4532F">
              <w:rPr>
                <w:rFonts w:ascii="Arial" w:hAnsi="Arial" w:cs="Arial"/>
                <w:sz w:val="22"/>
                <w:szCs w:val="22"/>
              </w:rPr>
              <w:t xml:space="preserve"> de severidad, que cuantifica la eficiencia de la respuesta cardíaca relativa a la caída de saturación de oxígeno.</w:t>
            </w:r>
          </w:p>
        </w:tc>
      </w:tr>
      <w:tr w:rsidR="00A129D9" w14:paraId="6A37153B"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91B8B9" w14:textId="77777777" w:rsidR="00A129D9" w:rsidRDefault="00000000">
            <w:pPr>
              <w:jc w:val="both"/>
            </w:pPr>
            <w:r>
              <w:rPr>
                <w:sz w:val="21"/>
                <w:szCs w:val="21"/>
              </w:rPr>
              <w:lastRenderedPageBreak/>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6837F1" w14:textId="77777777" w:rsidR="00A129D9" w:rsidRDefault="00000000">
            <w:pPr>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A129D9" w14:paraId="4CA7C5D7"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E365BDD" w14:textId="77777777" w:rsidR="00A129D9" w:rsidRDefault="00000000">
            <w:pPr>
              <w:jc w:val="both"/>
            </w:pPr>
            <w:r>
              <w:rPr>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6F088C" w14:textId="05FDA29E" w:rsidR="00A129D9" w:rsidRPr="00C4532F" w:rsidRDefault="00C4532F" w:rsidP="00C4532F">
            <w:pPr>
              <w:pStyle w:val="p1"/>
              <w:jc w:val="both"/>
              <w:rPr>
                <w:rFonts w:ascii="Arial" w:hAnsi="Arial" w:cs="Arial"/>
                <w:sz w:val="22"/>
                <w:szCs w:val="22"/>
              </w:rPr>
            </w:pPr>
            <w:r w:rsidRPr="00C4532F">
              <w:rPr>
                <w:rFonts w:ascii="Arial" w:hAnsi="Arial" w:cs="Arial"/>
                <w:sz w:val="22"/>
                <w:szCs w:val="22"/>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A129D9" w14:paraId="5EC6FBD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5DA0EC" w14:textId="77777777" w:rsidR="00A129D9" w:rsidRDefault="00000000">
            <w:pPr>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F35314" w14:textId="4421F776"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Aplicación clínica interactiva con pipeline de inferencia completo: morfotipos de eventos, estados PAC, índice de riesgo integrado e informe con asistencia de inteligencia artificial, </w:t>
            </w:r>
            <w:r w:rsidR="00C4532F" w:rsidRPr="00C4532F">
              <w:rPr>
                <w:rFonts w:ascii="Arial" w:hAnsi="Arial" w:cs="Arial"/>
                <w:sz w:val="22"/>
                <w:szCs w:val="22"/>
              </w:rPr>
              <w:t>disponibles en un flujo automatizado de análisis</w:t>
            </w:r>
            <w:r w:rsidRPr="00C4532F">
              <w:rPr>
                <w:rFonts w:ascii="Arial" w:hAnsi="Arial" w:cs="Arial"/>
                <w:sz w:val="22"/>
                <w:szCs w:val="22"/>
              </w:rPr>
              <w:t xml:space="preserve"> a partir del archivo de registro domiciliario.</w:t>
            </w:r>
          </w:p>
        </w:tc>
      </w:tr>
      <w:tr w:rsidR="00A129D9" w14:paraId="46687892"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2B804DB" w14:textId="77777777" w:rsidR="00A129D9" w:rsidRDefault="00000000">
            <w:pPr>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9EFD4E" w14:textId="4F16D950"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Sistema de predicción prospectiva con margen temporal: estimación de la probabilidad de ocurrencia de un evento severo en los próximos minutos, </w:t>
            </w:r>
            <w:r w:rsidR="00C4532F" w:rsidRPr="00C4532F">
              <w:rPr>
                <w:rFonts w:ascii="Arial" w:hAnsi="Arial" w:cs="Arial"/>
                <w:sz w:val="22"/>
                <w:szCs w:val="22"/>
              </w:rPr>
              <w:t>evaluada mediante esquemas de validación a nivel de paciente</w:t>
            </w:r>
            <w:r w:rsidRPr="00C4532F">
              <w:rPr>
                <w:rFonts w:ascii="Arial" w:hAnsi="Arial" w:cs="Arial"/>
                <w:sz w:val="22"/>
                <w:szCs w:val="22"/>
              </w:rPr>
              <w:t>, como base para la estimulación transcutánea preventiva.</w:t>
            </w:r>
          </w:p>
        </w:tc>
      </w:tr>
    </w:tbl>
    <w:p w14:paraId="30E64DB6" w14:textId="77777777" w:rsidR="00A129D9" w:rsidRDefault="00A129D9">
      <w:pPr>
        <w:spacing w:before="80"/>
      </w:pPr>
    </w:p>
    <w:p w14:paraId="0E3FFC56" w14:textId="77777777" w:rsidR="00A129D9" w:rsidRDefault="00000000">
      <w:pPr>
        <w:pStyle w:val="Ttulo2"/>
      </w:pPr>
      <w:r>
        <w:t>1.6 Objetivo del trabajo</w:t>
      </w:r>
    </w:p>
    <w:p w14:paraId="47C03214" w14:textId="77777777" w:rsidR="00A129D9" w:rsidRDefault="00000000">
      <w:pPr>
        <w:spacing w:after="160"/>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334E0401" w14:textId="77777777" w:rsidR="00A129D9" w:rsidRDefault="00000000">
      <w:pPr>
        <w:spacing w:after="160"/>
        <w:ind w:firstLine="720"/>
        <w:jc w:val="both"/>
      </w:pPr>
      <w:r>
        <w:t>Este objetivo general se descompone en los siguientes objetivos específicos:</w:t>
      </w:r>
    </w:p>
    <w:p w14:paraId="52FC72ED" w14:textId="77777777" w:rsidR="00A129D9" w:rsidRDefault="00000000">
      <w:pPr>
        <w:pStyle w:val="Prrafodelista"/>
        <w:numPr>
          <w:ilvl w:val="0"/>
          <w:numId w:val="2"/>
        </w:numPr>
        <w:jc w:val="both"/>
      </w:pPr>
      <w: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39D1E2C3" w14:textId="77777777" w:rsidR="00A129D9" w:rsidRDefault="00000000">
      <w:pPr>
        <w:pStyle w:val="Prrafodelista"/>
        <w:numPr>
          <w:ilvl w:val="0"/>
          <w:numId w:val="2"/>
        </w:numPr>
        <w:jc w:val="both"/>
      </w:pPr>
      <w:r>
        <w:t>Caracterizar morfológicamente los eventos de desaturación de oxígeno mediante agrupamiento no supervisado sobre curvas de saturación, e introducir el Índice de Respuesta Autonómica como dimensión complementaria e independiente de los índices clásicos de severidad.</w:t>
      </w:r>
    </w:p>
    <w:p w14:paraId="43F52590" w14:textId="77777777" w:rsidR="00A129D9" w:rsidRDefault="00000000">
      <w:pPr>
        <w:pStyle w:val="Prrafodelista"/>
        <w:numPr>
          <w:ilvl w:val="0"/>
          <w:numId w:val="2"/>
        </w:numPr>
        <w:jc w:val="both"/>
      </w:pPr>
      <w:r>
        <w:lastRenderedPageBreak/>
        <w:t>Desarrollar y validar el sistema de estados PAC multiescala: representación del sueño como secuencia de estados dinámicos a tres escalas temporales, que captura la organización global de la noche más allá de los índices agregados.</w:t>
      </w:r>
    </w:p>
    <w:p w14:paraId="2EAECD2C" w14:textId="77777777" w:rsidR="00A129D9" w:rsidRDefault="00000000">
      <w:pPr>
        <w:pStyle w:val="Prrafodelista"/>
        <w:numPr>
          <w:ilvl w:val="0"/>
          <w:numId w:val="2"/>
        </w:numPr>
        <w:jc w:val="both"/>
      </w:pPr>
      <w:r>
        <w:t>Cuantificar el acoplamiento entre los estados dinámicos nocturnos y la severidad de los eventos individuales, y construir modelos predictivos validados mediante validación cruzada estricta a nivel de paciente.</w:t>
      </w:r>
    </w:p>
    <w:p w14:paraId="0301CBE2" w14:textId="77777777" w:rsidR="00A129D9"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76F747BC" w14:textId="77777777" w:rsidR="00A129D9" w:rsidRDefault="00000000">
      <w:pPr>
        <w:pStyle w:val="Prrafodelista"/>
        <w:numPr>
          <w:ilvl w:val="0"/>
          <w:numId w:val="2"/>
        </w:numPr>
        <w:jc w:val="both"/>
      </w:pPr>
      <w:r>
        <w:t>Implementar y validar un sistema de predicción prospectiva con margen temporal que anticipe la ocurrencia de eventos severos con antelación suficiente para la activación de dispositivos de estimulación transcutánea preventiva.</w:t>
      </w:r>
    </w:p>
    <w:p w14:paraId="0787DEB4" w14:textId="77777777" w:rsidR="00A129D9" w:rsidRDefault="00000000">
      <w:pPr>
        <w:pStyle w:val="Ttulo2"/>
      </w:pPr>
      <w:r>
        <w:t>1.7 Transferencia de los resultados obtenidos</w:t>
      </w:r>
    </w:p>
    <w:p w14:paraId="02775CE9" w14:textId="7A3860F6" w:rsidR="00A129D9" w:rsidRDefault="00000000">
      <w:pPr>
        <w:spacing w:after="160"/>
        <w:ind w:firstLine="720"/>
        <w:jc w:val="both"/>
      </w:pPr>
      <w:r>
        <w:t xml:space="preserve">Los resultados de este trabajo se transfieren en múltiples direcciones. En el ámbito de la práctica médica privada que motivó el proyecto, </w:t>
      </w:r>
      <w:r w:rsidR="00C4532F">
        <w:t>el pipeline y un prototipo de aplicación interactiva se encuentran implementados</w:t>
      </w:r>
      <w:r>
        <w:t xml:space="preserve">: cualquier registro domiciliario exportado del dispositivo </w:t>
      </w:r>
      <w:r w:rsidR="00C4532F">
        <w:t>puede ser analizado mediante un flujo automatizado</w:t>
      </w:r>
      <w:r>
        <w:t xml:space="preserve">, </w:t>
      </w:r>
      <w:r w:rsidR="00C4532F">
        <w:t>obteniendo morfotipos de eventos, estados PAC, índice de riesgo e informe en tiempos compatibles con su uso exploratorio en la práctica clínica.</w:t>
      </w:r>
      <w:r>
        <w:t xml:space="preserve"> Esta capacidad </w:t>
      </w:r>
      <w:r w:rsidR="00062026">
        <w:t>podría transformar progresivamente el flujo de trabajo clínico habitual</w:t>
      </w:r>
      <w:r>
        <w:t>, pasando de la lectura de un reporte estático a la exploración dinámica de la fisiología nocturna del paciente.</w:t>
      </w:r>
    </w:p>
    <w:p w14:paraId="38340EFE" w14:textId="77777777" w:rsidR="00A129D9" w:rsidRDefault="00000000">
      <w:pPr>
        <w:spacing w:after="160"/>
        <w:ind w:firstLine="720"/>
        <w:jc w:val="both"/>
      </w:pPr>
      <w:r>
        <w:t>En el plano científico, los resultados se organizan en un marco de cuatro publicaciones. El primer artículo, sobre fenotipado morfológico e Índice de Respuesta Autonómica, está en preparación para envío a revista indexada. Los tres artículos restantes —sobre estados PAC, acoplamiento y predicción, y predicción con margen temporal terapéutico— se proyectan como publicaciones post-tesis, con hipótesis, datos y resultados preliminares ya disponibles.</w:t>
      </w:r>
    </w:p>
    <w:p w14:paraId="402FF088" w14:textId="2E628403" w:rsidR="00A129D9" w:rsidRDefault="00000000">
      <w:pPr>
        <w:spacing w:after="160"/>
        <w:ind w:firstLine="720"/>
        <w:jc w:val="both"/>
      </w:pPr>
      <w:r>
        <w:t xml:space="preserve">Desde el punto de vista metodológico, el pipeline PAC_v3 es un repositorio documentado con arquitectura modular y pruebas automatizadas, diseñado para ser extendido a cohortes de mayor tamaño, para integrar señales adicionales o para adaptarse a otros trastornos de monitoreo continuo en salud. La trazabilidad completa del proceso </w:t>
      </w:r>
      <w:r w:rsidR="001919A7">
        <w:t>favorece la reproducibilidad</w:t>
      </w:r>
      <w:r>
        <w:t xml:space="preserve"> de todos los resultados presentados.</w:t>
      </w:r>
    </w:p>
    <w:p w14:paraId="0A2B5C1D" w14:textId="77777777" w:rsidR="00A129D9" w:rsidRDefault="00000000">
      <w:pPr>
        <w:pStyle w:val="Ttulo2"/>
      </w:pPr>
      <w:r>
        <w:t>1.8 Técnicas de ciencia de datos y aprendizaje automático aplicadas</w:t>
      </w:r>
    </w:p>
    <w:p w14:paraId="3C797BAF" w14:textId="77777777" w:rsidR="00A129D9" w:rsidRDefault="00000000">
      <w:pPr>
        <w:spacing w:after="160"/>
        <w:ind w:firstLine="720"/>
        <w:jc w:val="both"/>
      </w:pPr>
      <w: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1B8AB66D"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3239"/>
        <w:gridCol w:w="1786"/>
        <w:gridCol w:w="1552"/>
      </w:tblGrid>
      <w:tr w:rsidR="00A129D9" w14:paraId="11B9F82F"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38542DF" w14:textId="77777777" w:rsidR="00A129D9" w:rsidRDefault="00000000">
            <w:pPr>
              <w:jc w:val="center"/>
            </w:pPr>
            <w:r>
              <w:rPr>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634599" w14:textId="77777777" w:rsidR="00A129D9" w:rsidRDefault="00000000">
            <w:pPr>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D71B73A" w14:textId="77777777" w:rsidR="00A129D9" w:rsidRDefault="00000000">
            <w:pPr>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E8F1233" w14:textId="77777777" w:rsidR="00A129D9" w:rsidRDefault="00000000">
            <w:pPr>
              <w:jc w:val="center"/>
            </w:pPr>
            <w:r>
              <w:rPr>
                <w:b/>
                <w:bCs/>
                <w:color w:val="1E3A5F"/>
                <w:sz w:val="20"/>
                <w:szCs w:val="20"/>
              </w:rPr>
              <w:t>Capítulos</w:t>
            </w:r>
          </w:p>
        </w:tc>
      </w:tr>
      <w:tr w:rsidR="00A129D9" w14:paraId="5C56483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672EBC2" w14:textId="77777777" w:rsidR="00A129D9" w:rsidRDefault="00000000">
            <w:pPr>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CB2C4C" w14:textId="77777777" w:rsidR="00A129D9" w:rsidRDefault="00000000">
            <w:pPr>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6F29A4"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9D3DBC" w14:textId="77777777" w:rsidR="00A129D9" w:rsidRDefault="00000000">
            <w:pPr>
              <w:jc w:val="center"/>
            </w:pPr>
            <w:r>
              <w:rPr>
                <w:color w:val="1E3A5F"/>
                <w:sz w:val="20"/>
                <w:szCs w:val="20"/>
              </w:rPr>
              <w:t>Caps. 3 y 4</w:t>
            </w:r>
          </w:p>
        </w:tc>
      </w:tr>
      <w:tr w:rsidR="00A129D9" w14:paraId="4E5EDA1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1E180F" w14:textId="77777777" w:rsidR="00A129D9" w:rsidRDefault="00000000">
            <w:pPr>
              <w:jc w:val="both"/>
            </w:pPr>
            <w:r>
              <w:rPr>
                <w:b/>
                <w:bCs/>
                <w:sz w:val="21"/>
                <w:szCs w:val="21"/>
              </w:rPr>
              <w:lastRenderedPageBreak/>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8DF7BB" w14:textId="7FFB2834" w:rsidR="00A129D9" w:rsidRDefault="00000000">
            <w:pPr>
              <w:jc w:val="both"/>
            </w:pPr>
            <w:r>
              <w:rPr>
                <w:sz w:val="21"/>
                <w:szCs w:val="21"/>
              </w:rPr>
              <w:t xml:space="preserve">Análisis de asociación entre variables fisiológicas y clínicas. </w:t>
            </w:r>
            <w:r w:rsidR="00066A8C">
              <w:rPr>
                <w:sz w:val="21"/>
                <w:szCs w:val="21"/>
              </w:rPr>
              <w:t>Evaluación de la independencia parcial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7657336"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01B3E3" w14:textId="77777777" w:rsidR="00A129D9" w:rsidRDefault="00000000">
            <w:pPr>
              <w:jc w:val="center"/>
            </w:pPr>
            <w:r>
              <w:rPr>
                <w:color w:val="1E3A5F"/>
                <w:sz w:val="20"/>
                <w:szCs w:val="20"/>
              </w:rPr>
              <w:t>Caps. 4 y 5</w:t>
            </w:r>
          </w:p>
        </w:tc>
      </w:tr>
      <w:tr w:rsidR="00A129D9" w14:paraId="58B4524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7E08669" w14:textId="77777777" w:rsidR="00A129D9" w:rsidRDefault="00000000">
            <w:pPr>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B912184" w14:textId="77777777" w:rsidR="00A129D9" w:rsidRDefault="00000000">
            <w:pPr>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BFA7B6"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91B408" w14:textId="77777777" w:rsidR="00A129D9" w:rsidRDefault="00000000">
            <w:pPr>
              <w:jc w:val="center"/>
            </w:pPr>
            <w:r>
              <w:rPr>
                <w:color w:val="1E3A5F"/>
                <w:sz w:val="20"/>
                <w:szCs w:val="20"/>
              </w:rPr>
              <w:t>Cap. 5</w:t>
            </w:r>
          </w:p>
        </w:tc>
      </w:tr>
      <w:tr w:rsidR="00A129D9" w14:paraId="05723AE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C435B2" w14:textId="77777777" w:rsidR="00A129D9" w:rsidRDefault="00000000">
            <w:pPr>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4CBC57" w14:textId="77777777" w:rsidR="00A129D9" w:rsidRDefault="00000000">
            <w:pPr>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CE224CE"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AACC72" w14:textId="77777777" w:rsidR="00A129D9" w:rsidRDefault="00000000">
            <w:pPr>
              <w:jc w:val="center"/>
            </w:pPr>
            <w:r>
              <w:rPr>
                <w:color w:val="1E3A5F"/>
                <w:sz w:val="20"/>
                <w:szCs w:val="20"/>
              </w:rPr>
              <w:t>Cap. 6</w:t>
            </w:r>
          </w:p>
        </w:tc>
      </w:tr>
      <w:tr w:rsidR="00A129D9" w14:paraId="34140BF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4ABC1D" w14:textId="77777777" w:rsidR="00A129D9" w:rsidRDefault="00000000">
            <w:pPr>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1F523D" w14:textId="77777777" w:rsidR="00A129D9" w:rsidRDefault="00000000">
            <w:pPr>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CA2E6B7"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7A04BA" w14:textId="77777777" w:rsidR="00A129D9" w:rsidRDefault="00000000">
            <w:pPr>
              <w:jc w:val="center"/>
            </w:pPr>
            <w:r>
              <w:rPr>
                <w:color w:val="1E3A5F"/>
                <w:sz w:val="20"/>
                <w:szCs w:val="20"/>
              </w:rPr>
              <w:t>Caps. 5 y 6</w:t>
            </w:r>
          </w:p>
        </w:tc>
      </w:tr>
      <w:tr w:rsidR="00A129D9" w14:paraId="4BC0721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01CE080" w14:textId="77777777" w:rsidR="00A129D9" w:rsidRDefault="00000000">
            <w:pPr>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DD3E14" w14:textId="77777777" w:rsidR="00A129D9" w:rsidRDefault="00000000">
            <w:pPr>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8A36C38"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7B783B" w14:textId="77777777" w:rsidR="00A129D9" w:rsidRDefault="00000000">
            <w:pPr>
              <w:jc w:val="center"/>
            </w:pPr>
            <w:r>
              <w:rPr>
                <w:color w:val="1E3A5F"/>
                <w:sz w:val="20"/>
                <w:szCs w:val="20"/>
              </w:rPr>
              <w:t>Caps. 4 y 5</w:t>
            </w:r>
          </w:p>
        </w:tc>
      </w:tr>
      <w:tr w:rsidR="00A129D9" w14:paraId="6977A2D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E66D9F" w14:textId="77777777" w:rsidR="00A129D9" w:rsidRDefault="00000000">
            <w:pPr>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083140" w14:textId="77777777" w:rsidR="00A129D9" w:rsidRDefault="00000000">
            <w:pPr>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C56187A"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F5CAF3" w14:textId="77777777" w:rsidR="00A129D9" w:rsidRDefault="00000000">
            <w:pPr>
              <w:jc w:val="center"/>
            </w:pPr>
            <w:r>
              <w:rPr>
                <w:color w:val="1E3A5F"/>
                <w:sz w:val="20"/>
                <w:szCs w:val="20"/>
              </w:rPr>
              <w:t>Caps. 4, 5 y 6</w:t>
            </w:r>
          </w:p>
        </w:tc>
      </w:tr>
      <w:tr w:rsidR="00A129D9" w14:paraId="73EF46E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DAE2443" w14:textId="77777777" w:rsidR="00A129D9" w:rsidRDefault="00000000">
            <w:pPr>
              <w:jc w:val="both"/>
            </w:pPr>
            <w:r>
              <w:rPr>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B1ED3E" w14:textId="77777777" w:rsidR="00A129D9" w:rsidRDefault="00000000">
            <w:pPr>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0E72144"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F3FAF4" w14:textId="77777777" w:rsidR="00A129D9" w:rsidRDefault="00000000">
            <w:pPr>
              <w:jc w:val="center"/>
            </w:pPr>
            <w:r>
              <w:rPr>
                <w:color w:val="1E3A5F"/>
                <w:sz w:val="20"/>
                <w:szCs w:val="20"/>
              </w:rPr>
              <w:t>Cap. 4</w:t>
            </w:r>
          </w:p>
        </w:tc>
      </w:tr>
      <w:tr w:rsidR="00A129D9" w14:paraId="0BADEB1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D7F9A61" w14:textId="77777777" w:rsidR="00A129D9" w:rsidRDefault="00000000">
            <w:pPr>
              <w:jc w:val="both"/>
            </w:pPr>
            <w:r>
              <w:rPr>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525753" w14:textId="77777777" w:rsidR="00A129D9" w:rsidRDefault="00000000">
            <w:pPr>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ECEE0E"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75864C" w14:textId="77777777" w:rsidR="00A129D9" w:rsidRDefault="00000000">
            <w:pPr>
              <w:jc w:val="center"/>
            </w:pPr>
            <w:r>
              <w:rPr>
                <w:color w:val="1E3A5F"/>
                <w:sz w:val="20"/>
                <w:szCs w:val="20"/>
              </w:rPr>
              <w:t>Cap. 5</w:t>
            </w:r>
          </w:p>
        </w:tc>
      </w:tr>
      <w:tr w:rsidR="00A129D9" w14:paraId="377213F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200D19" w14:textId="77777777" w:rsidR="00A129D9" w:rsidRDefault="00000000">
            <w:pPr>
              <w:jc w:val="both"/>
            </w:pPr>
            <w:r>
              <w:rPr>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33FB7" w14:textId="77777777" w:rsidR="00A129D9" w:rsidRDefault="00000000">
            <w:pPr>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3D01BD5" w14:textId="77777777" w:rsidR="00A129D9" w:rsidRDefault="00000000">
            <w:pPr>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C897BD" w14:textId="77777777" w:rsidR="00A129D9" w:rsidRDefault="00000000">
            <w:pPr>
              <w:jc w:val="center"/>
            </w:pPr>
            <w:r>
              <w:rPr>
                <w:color w:val="1E3A5F"/>
                <w:sz w:val="20"/>
                <w:szCs w:val="20"/>
              </w:rPr>
              <w:t>Caps. 5 y 6</w:t>
            </w:r>
          </w:p>
        </w:tc>
      </w:tr>
      <w:tr w:rsidR="00A129D9" w14:paraId="015F205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E73B5C8" w14:textId="77777777" w:rsidR="00A129D9" w:rsidRDefault="00000000">
            <w:pPr>
              <w:jc w:val="both"/>
            </w:pPr>
            <w:r>
              <w:rPr>
                <w:b/>
                <w:bCs/>
                <w:sz w:val="21"/>
                <w:szCs w:val="21"/>
              </w:rPr>
              <w:lastRenderedPageBreak/>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117A19" w14:textId="77777777" w:rsidR="00A129D9" w:rsidRDefault="00000000">
            <w:pPr>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185CCA6"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08E5A7" w14:textId="77777777" w:rsidR="00A129D9" w:rsidRDefault="00000000">
            <w:pPr>
              <w:jc w:val="center"/>
            </w:pPr>
            <w:r>
              <w:rPr>
                <w:color w:val="1E3A5F"/>
                <w:sz w:val="20"/>
                <w:szCs w:val="20"/>
              </w:rPr>
              <w:t>Cap. 6</w:t>
            </w:r>
          </w:p>
        </w:tc>
      </w:tr>
      <w:tr w:rsidR="00A129D9" w14:paraId="42C68AF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68A04B" w14:textId="77777777" w:rsidR="00A129D9" w:rsidRDefault="00000000">
            <w:pPr>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DA2C4B" w14:textId="77777777" w:rsidR="00A129D9" w:rsidRDefault="00000000">
            <w:pPr>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5E236C0"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5B472E" w14:textId="77777777" w:rsidR="00A129D9" w:rsidRDefault="00000000">
            <w:pPr>
              <w:jc w:val="center"/>
            </w:pPr>
            <w:r>
              <w:rPr>
                <w:color w:val="1E3A5F"/>
                <w:sz w:val="20"/>
                <w:szCs w:val="20"/>
              </w:rPr>
              <w:t>Cap. 8</w:t>
            </w:r>
          </w:p>
        </w:tc>
      </w:tr>
      <w:tr w:rsidR="00A129D9" w14:paraId="2699CFC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5CE5570" w14:textId="77777777" w:rsidR="00A129D9" w:rsidRDefault="00000000">
            <w:pPr>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B08180" w14:textId="4DB37336" w:rsidR="00A129D9" w:rsidRDefault="00000000">
            <w:pPr>
              <w:jc w:val="both"/>
            </w:pPr>
            <w:r>
              <w:rPr>
                <w:sz w:val="21"/>
                <w:szCs w:val="21"/>
              </w:rPr>
              <w:t xml:space="preserve">Modelo de predicción de severidad del evento individual a partir de variables acumuladas en ventana temporal. </w:t>
            </w:r>
            <w:r w:rsidR="00931CC2">
              <w:rPr>
                <w:sz w:val="21"/>
                <w:szCs w:val="21"/>
              </w:rPr>
              <w:t>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650734"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D251D3" w14:textId="77777777" w:rsidR="00A129D9" w:rsidRDefault="00000000">
            <w:pPr>
              <w:jc w:val="center"/>
            </w:pPr>
            <w:r>
              <w:rPr>
                <w:color w:val="1E3A5F"/>
                <w:sz w:val="20"/>
                <w:szCs w:val="20"/>
              </w:rPr>
              <w:t>Caps. 6 y 8</w:t>
            </w:r>
          </w:p>
        </w:tc>
      </w:tr>
      <w:tr w:rsidR="00A129D9" w14:paraId="027091A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449F2" w14:textId="77777777" w:rsidR="00A129D9" w:rsidRDefault="00000000">
            <w:pPr>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55CE84" w14:textId="77777777" w:rsidR="00A129D9" w:rsidRDefault="00000000">
            <w:pPr>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4E04C56"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DD436D" w14:textId="77777777" w:rsidR="00A129D9" w:rsidRDefault="00000000">
            <w:pPr>
              <w:jc w:val="center"/>
            </w:pPr>
            <w:r>
              <w:rPr>
                <w:color w:val="1E3A5F"/>
                <w:sz w:val="20"/>
                <w:szCs w:val="20"/>
              </w:rPr>
              <w:t>Cap. 6</w:t>
            </w:r>
          </w:p>
        </w:tc>
      </w:tr>
      <w:tr w:rsidR="00A129D9" w14:paraId="3CC1BAF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39174F6" w14:textId="77777777" w:rsidR="00A129D9" w:rsidRDefault="00000000">
            <w:pPr>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40D669" w14:textId="77777777" w:rsidR="00A129D9" w:rsidRDefault="00000000">
            <w:pPr>
              <w:jc w:val="both"/>
            </w:pPr>
            <w:r>
              <w:rPr>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6E7135"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F9C9DB" w14:textId="77777777" w:rsidR="00A129D9" w:rsidRDefault="00000000">
            <w:pPr>
              <w:jc w:val="center"/>
            </w:pPr>
            <w:r>
              <w:rPr>
                <w:color w:val="1E3A5F"/>
                <w:sz w:val="20"/>
                <w:szCs w:val="20"/>
              </w:rPr>
              <w:t>Cap. 6</w:t>
            </w:r>
          </w:p>
        </w:tc>
      </w:tr>
      <w:tr w:rsidR="00A129D9" w14:paraId="05DE053F"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F2E587D" w14:textId="77777777" w:rsidR="00A129D9" w:rsidRDefault="00000000">
            <w:pPr>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5AD8B" w14:textId="77777777" w:rsidR="00A129D9" w:rsidRDefault="00000000">
            <w:pPr>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4DF8A2E"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C4FB01" w14:textId="77777777" w:rsidR="00A129D9" w:rsidRDefault="00000000">
            <w:pPr>
              <w:jc w:val="center"/>
            </w:pPr>
            <w:r>
              <w:rPr>
                <w:color w:val="1E3A5F"/>
                <w:sz w:val="20"/>
                <w:szCs w:val="20"/>
              </w:rPr>
              <w:t>Caps. 6 y 8</w:t>
            </w:r>
          </w:p>
        </w:tc>
      </w:tr>
      <w:tr w:rsidR="00A129D9" w14:paraId="605D7C8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17BF7FC" w14:textId="77777777" w:rsidR="00A129D9" w:rsidRDefault="00000000">
            <w:pPr>
              <w:jc w:val="both"/>
            </w:pPr>
            <w:r>
              <w:rPr>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BE55DED" w14:textId="77777777" w:rsidR="00A129D9" w:rsidRDefault="00000000">
            <w:pPr>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9515611"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5FA584" w14:textId="77777777" w:rsidR="00A129D9" w:rsidRDefault="00000000">
            <w:pPr>
              <w:jc w:val="center"/>
            </w:pPr>
            <w:r>
              <w:rPr>
                <w:color w:val="1E3A5F"/>
                <w:sz w:val="20"/>
                <w:szCs w:val="20"/>
              </w:rPr>
              <w:t>Caps. 6 y 8</w:t>
            </w:r>
          </w:p>
        </w:tc>
      </w:tr>
      <w:tr w:rsidR="00A129D9" w14:paraId="1E204FB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7F8DD3" w14:textId="77777777" w:rsidR="00A129D9" w:rsidRDefault="00000000">
            <w:pPr>
              <w:jc w:val="both"/>
            </w:pPr>
            <w:r>
              <w:rPr>
                <w:b/>
                <w:bCs/>
                <w:sz w:val="21"/>
                <w:szCs w:val="21"/>
              </w:rPr>
              <w:t>Valores de Shapley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70D3BC" w14:textId="77777777" w:rsidR="00A129D9" w:rsidRDefault="00000000">
            <w:pPr>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077A559" w14:textId="77777777" w:rsidR="00A129D9" w:rsidRDefault="00000000">
            <w:pPr>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0EF6D7" w14:textId="77777777" w:rsidR="00A129D9" w:rsidRDefault="00000000">
            <w:pPr>
              <w:jc w:val="center"/>
            </w:pPr>
            <w:r>
              <w:rPr>
                <w:color w:val="1E3A5F"/>
                <w:sz w:val="20"/>
                <w:szCs w:val="20"/>
              </w:rPr>
              <w:t>Cap. 6</w:t>
            </w:r>
          </w:p>
        </w:tc>
      </w:tr>
      <w:tr w:rsidR="00A129D9" w14:paraId="30E546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9F6BB2" w14:textId="77777777" w:rsidR="00A129D9" w:rsidRDefault="00000000">
            <w:pPr>
              <w:jc w:val="both"/>
            </w:pPr>
            <w:r>
              <w:rPr>
                <w:b/>
                <w:bCs/>
                <w:sz w:val="21"/>
                <w:szCs w:val="21"/>
              </w:rPr>
              <w:lastRenderedPageBreak/>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F37B0B" w14:textId="77777777" w:rsidR="00A129D9" w:rsidRDefault="00000000">
            <w:pPr>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44263"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33D7AA" w14:textId="77777777" w:rsidR="00A129D9" w:rsidRDefault="00000000">
            <w:pPr>
              <w:jc w:val="center"/>
            </w:pPr>
            <w:r>
              <w:rPr>
                <w:color w:val="1E3A5F"/>
                <w:sz w:val="20"/>
                <w:szCs w:val="20"/>
              </w:rPr>
              <w:t>Cap. 6</w:t>
            </w:r>
          </w:p>
        </w:tc>
      </w:tr>
      <w:tr w:rsidR="00A129D9" w14:paraId="0DDD9EE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CBFA92" w14:textId="77777777" w:rsidR="00A129D9" w:rsidRDefault="00000000">
            <w:pPr>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58A29C" w14:textId="77777777" w:rsidR="00A129D9" w:rsidRDefault="00000000">
            <w:pPr>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62FFE7" w14:textId="77777777" w:rsidR="00A129D9" w:rsidRDefault="00000000">
            <w:pPr>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003AD3" w14:textId="77777777" w:rsidR="00A129D9" w:rsidRDefault="00000000">
            <w:pPr>
              <w:jc w:val="center"/>
            </w:pPr>
            <w:r>
              <w:rPr>
                <w:color w:val="1E3A5F"/>
                <w:sz w:val="20"/>
                <w:szCs w:val="20"/>
              </w:rPr>
              <w:t>Cap. 6</w:t>
            </w:r>
          </w:p>
        </w:tc>
      </w:tr>
    </w:tbl>
    <w:p w14:paraId="0A24B259" w14:textId="77777777" w:rsidR="00A129D9" w:rsidRDefault="00A129D9">
      <w:pPr>
        <w:spacing w:before="80"/>
      </w:pPr>
    </w:p>
    <w:p w14:paraId="3CDAB1EF" w14:textId="77777777" w:rsidR="00A129D9" w:rsidRDefault="00000000">
      <w:pPr>
        <w:pStyle w:val="Ttulo2"/>
      </w:pPr>
      <w:r>
        <w:t>1.9 Estructura general del trabajo final</w:t>
      </w:r>
    </w:p>
    <w:p w14:paraId="2CE9011B" w14:textId="77777777" w:rsidR="00A129D9"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01DC3624" w14:textId="77777777" w:rsidR="00A129D9" w:rsidRDefault="00000000">
      <w:pPr>
        <w:spacing w:after="160"/>
        <w:ind w:firstLine="720"/>
        <w:jc w:val="both"/>
      </w:pPr>
      <w:r>
        <w:t>El Capítulo 2 presenta el marco teórico: fundamentos clínicos del síndrome de apnea obstructiva del sueño, monitoreo domiciliario mediante oximetría portátil, enfoques para el análisis de series temporales biomédicas y principios del aprendizaje automático aplicado a la salud.</w:t>
      </w:r>
    </w:p>
    <w:p w14:paraId="7815A192" w14:textId="26DB4679" w:rsidR="00A129D9" w:rsidRDefault="00000000">
      <w:pPr>
        <w:spacing w:after="160"/>
        <w:ind w:firstLine="720"/>
        <w:jc w:val="both"/>
      </w:pPr>
      <w:r>
        <w:t>El Capítulo 3 describe los materiales y la metodología: la cohorte de pacientes y sus características clínicas, el diseño del pipeline PAC_v</w:t>
      </w:r>
      <w:r w:rsidR="00CE59C9">
        <w:t>3</w:t>
      </w:r>
      <w:r>
        <w:t xml:space="preserve"> con su arquitectura de procesamiento, las decisiones de control de calidad de señal y los criterios de definición de las cohortes de análisis.</w:t>
      </w:r>
    </w:p>
    <w:p w14:paraId="70E45B78" w14:textId="77777777" w:rsidR="00A129D9" w:rsidRDefault="00000000">
      <w:pPr>
        <w:spacing w:after="160"/>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0395FDEA" w14:textId="77777777" w:rsidR="00A129D9" w:rsidRDefault="00000000">
      <w:pPr>
        <w:spacing w:after="160"/>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2C3A9C1A" w14:textId="5A125DBE" w:rsidR="00A129D9" w:rsidRDefault="00000000">
      <w:pPr>
        <w:spacing w:after="160"/>
        <w:ind w:firstLine="720"/>
        <w:jc w:val="both"/>
      </w:pPr>
      <w:r>
        <w:t xml:space="preserve">El Capítulo 6 integra morfotipos y estados para cuantificar el acoplamiento entre contexto dinámico y severidad de evento, construye los </w:t>
      </w:r>
      <w:r w:rsidR="00931CC2">
        <w:t>modelos predictivos implementados en el pipeline</w:t>
      </w:r>
      <w:r>
        <w:t xml:space="preserve"> y valida su capacidad de generalización mediante validación cruzada estricta a nivel de paciente.</w:t>
      </w:r>
    </w:p>
    <w:p w14:paraId="5F835DB9" w14:textId="77777777" w:rsidR="00A129D9" w:rsidRDefault="00000000">
      <w:pPr>
        <w:spacing w:after="160"/>
        <w:ind w:firstLine="720"/>
        <w:jc w:val="both"/>
      </w:pPr>
      <w:r>
        <w:t>El Capítulo 7 describe el desarrollo de la aplicación clínica interactiva: su arquitectura, el pipeline de inferencia en tiempo real y las cinco pestañas de análisis con integración de inteligencia artificial para la generación de informes.</w:t>
      </w:r>
    </w:p>
    <w:p w14:paraId="1867A818" w14:textId="4E421BCF" w:rsidR="00066A8C" w:rsidRPr="00066A8C" w:rsidRDefault="00066A8C" w:rsidP="00066A8C">
      <w:pPr>
        <w:pStyle w:val="p1"/>
        <w:rPr>
          <w:rFonts w:ascii="Arial" w:hAnsi="Arial" w:cs="Arial"/>
          <w:sz w:val="22"/>
          <w:szCs w:val="22"/>
        </w:rPr>
      </w:pPr>
      <w:r>
        <w:rPr>
          <w:rFonts w:ascii="Arial" w:hAnsi="Arial" w:cs="Arial"/>
          <w:sz w:val="22"/>
          <w:szCs w:val="22"/>
        </w:rPr>
        <w:tab/>
      </w:r>
      <w:r w:rsidR="00000000" w:rsidRPr="00066A8C">
        <w:rPr>
          <w:rFonts w:ascii="Arial" w:hAnsi="Arial" w:cs="Arial"/>
          <w:sz w:val="22"/>
          <w:szCs w:val="22"/>
        </w:rPr>
        <w:t xml:space="preserve">El Capítulo 8 extiende el marco predictivo al dominio prospectivo, presentando el sistema de predicción con margen temporal para la estimulación transcutánea preventiva, su diseño metodológico y </w:t>
      </w:r>
      <w:r w:rsidRPr="00066A8C">
        <w:rPr>
          <w:rFonts w:ascii="Arial" w:hAnsi="Arial" w:cs="Arial"/>
          <w:sz w:val="22"/>
          <w:szCs w:val="22"/>
        </w:rPr>
        <w:t>los resultados de evaluación mediante validación a nivel de paciente.</w:t>
      </w:r>
    </w:p>
    <w:p w14:paraId="4DAF5899" w14:textId="5BA86E91" w:rsidR="00A129D9" w:rsidRDefault="00A129D9">
      <w:pPr>
        <w:spacing w:after="160"/>
        <w:ind w:firstLine="720"/>
        <w:jc w:val="both"/>
      </w:pPr>
    </w:p>
    <w:p w14:paraId="5AE6CFFB" w14:textId="77777777" w:rsidR="00A129D9" w:rsidRDefault="00000000">
      <w:pPr>
        <w:spacing w:after="160"/>
        <w:ind w:firstLine="720"/>
        <w:jc w:val="both"/>
      </w:pPr>
      <w:r>
        <w:t>El Capítulo 9 sitúa el trabajo en la literatura existente, analizando enfoques previos en fenotipado de eventos de desaturación, sistemas de estados dinámicos del sueño y predicción de apnea mediante señales domiciliarias.</w:t>
      </w:r>
    </w:p>
    <w:p w14:paraId="63C5A753" w14:textId="77777777" w:rsidR="00A129D9" w:rsidRDefault="00000000">
      <w:pPr>
        <w:spacing w:after="160"/>
        <w:ind w:firstLine="720"/>
        <w:jc w:val="both"/>
      </w:pPr>
      <w: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30B0FE82" w14:textId="77777777" w:rsidR="00A129D9" w:rsidRDefault="00A129D9">
      <w:pPr>
        <w:spacing w:before="200"/>
      </w:pPr>
    </w:p>
    <w:p w14:paraId="11209586" w14:textId="77777777" w:rsidR="00A129D9" w:rsidRDefault="00000000">
      <w:pPr>
        <w:pStyle w:val="Ttulo2"/>
      </w:pPr>
      <w:r>
        <w:t>Referencias</w:t>
      </w:r>
    </w:p>
    <w:p w14:paraId="2A14F66B" w14:textId="77777777" w:rsidR="00A129D9" w:rsidRPr="00A509BE" w:rsidRDefault="00000000">
      <w:pPr>
        <w:spacing w:after="140"/>
        <w:ind w:left="720" w:hanging="720"/>
        <w:jc w:val="both"/>
        <w:rPr>
          <w:sz w:val="21"/>
          <w:szCs w:val="21"/>
        </w:rPr>
      </w:pPr>
      <w:r w:rsidRPr="00A509BE">
        <w:rPr>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sidRPr="00A509BE">
        <w:rPr>
          <w:i/>
          <w:iCs/>
          <w:sz w:val="21"/>
          <w:szCs w:val="21"/>
        </w:rPr>
        <w:t>The Lancet Respiratory Medicine</w:t>
      </w:r>
      <w:r w:rsidRPr="00A509BE">
        <w:rPr>
          <w:sz w:val="21"/>
          <w:szCs w:val="21"/>
        </w:rPr>
        <w:t>, 7(8), 687–698. https://doi.org/10.1016/S2213-2600(19)30198-5</w:t>
      </w:r>
    </w:p>
    <w:p w14:paraId="013E3E51" w14:textId="77777777" w:rsidR="00A129D9" w:rsidRPr="00A509BE" w:rsidRDefault="00000000">
      <w:pPr>
        <w:spacing w:after="140"/>
        <w:ind w:left="720" w:hanging="720"/>
        <w:jc w:val="both"/>
        <w:rPr>
          <w:sz w:val="21"/>
          <w:szCs w:val="21"/>
        </w:rPr>
      </w:pPr>
      <w:r w:rsidRPr="00A509BE">
        <w:rPr>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sidRPr="00A509BE">
        <w:rPr>
          <w:i/>
          <w:iCs/>
          <w:sz w:val="21"/>
          <w:szCs w:val="21"/>
        </w:rPr>
        <w:t>Journal of Clinical Sleep Medicine</w:t>
      </w:r>
      <w:r w:rsidRPr="00A509BE">
        <w:rPr>
          <w:sz w:val="21"/>
          <w:szCs w:val="21"/>
        </w:rPr>
        <w:t>, 8(5), 597–619. https://doi.org/10.5664/jcsm.2172</w:t>
      </w:r>
    </w:p>
    <w:p w14:paraId="4BE95BED" w14:textId="77777777" w:rsidR="00A129D9" w:rsidRPr="00A509BE" w:rsidRDefault="00000000">
      <w:pPr>
        <w:spacing w:after="140"/>
        <w:ind w:left="720" w:hanging="720"/>
        <w:jc w:val="both"/>
        <w:rPr>
          <w:sz w:val="21"/>
          <w:szCs w:val="21"/>
        </w:rPr>
      </w:pPr>
      <w:r w:rsidRPr="00A509BE">
        <w:rPr>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sidRPr="00A509BE">
        <w:rPr>
          <w:i/>
          <w:iCs/>
          <w:sz w:val="21"/>
          <w:szCs w:val="21"/>
        </w:rPr>
        <w:t>Journal of Clinical Sleep Medicine</w:t>
      </w:r>
      <w:r w:rsidRPr="00A509BE">
        <w:rPr>
          <w:sz w:val="21"/>
          <w:szCs w:val="21"/>
        </w:rPr>
        <w:t>, 13(3), 479–504. https://doi.org/10.5664/jcsm.6506</w:t>
      </w:r>
    </w:p>
    <w:p w14:paraId="52787D45" w14:textId="77777777" w:rsidR="00A129D9" w:rsidRPr="00A509BE" w:rsidRDefault="00000000">
      <w:pPr>
        <w:spacing w:after="140"/>
        <w:ind w:left="720" w:hanging="720"/>
        <w:jc w:val="both"/>
        <w:rPr>
          <w:sz w:val="21"/>
          <w:szCs w:val="21"/>
        </w:rPr>
      </w:pPr>
      <w:r w:rsidRPr="00A509BE">
        <w:rPr>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sidRPr="00A509BE">
        <w:rPr>
          <w:i/>
          <w:iCs/>
          <w:sz w:val="21"/>
          <w:szCs w:val="21"/>
        </w:rPr>
        <w:t>Sleep</w:t>
      </w:r>
      <w:r w:rsidRPr="00A509BE">
        <w:rPr>
          <w:sz w:val="21"/>
          <w:szCs w:val="21"/>
        </w:rPr>
        <w:t>, 44(7), zsab030. https://doi.org/10.1093/sleep/zsab030</w:t>
      </w:r>
    </w:p>
    <w:p w14:paraId="55F16DA1" w14:textId="3E5F1562" w:rsidR="00465338" w:rsidRPr="00A509BE" w:rsidRDefault="00465338">
      <w:pPr>
        <w:spacing w:after="140"/>
        <w:ind w:left="720" w:hanging="720"/>
        <w:jc w:val="both"/>
        <w:rPr>
          <w:sz w:val="21"/>
          <w:szCs w:val="21"/>
        </w:rPr>
      </w:pPr>
      <w:r w:rsidRPr="00A509BE">
        <w:rPr>
          <w:sz w:val="21"/>
          <w:szCs w:val="21"/>
        </w:rPr>
        <w:t xml:space="preserve">Yoon, H., &amp; Choi, S. H. (2023). Technologies for sleep monitoring at home: wearables and nearables. </w:t>
      </w:r>
      <w:r w:rsidRPr="00A509BE">
        <w:rPr>
          <w:rStyle w:val="nfasis"/>
          <w:sz w:val="21"/>
          <w:szCs w:val="21"/>
        </w:rPr>
        <w:t>Biomedical Engineering Letters</w:t>
      </w:r>
      <w:r w:rsidRPr="00A509BE">
        <w:rPr>
          <w:sz w:val="21"/>
          <w:szCs w:val="21"/>
        </w:rPr>
        <w:t xml:space="preserve">, </w:t>
      </w:r>
      <w:r w:rsidRPr="00A509BE">
        <w:rPr>
          <w:rStyle w:val="nfasis"/>
          <w:sz w:val="21"/>
          <w:szCs w:val="21"/>
        </w:rPr>
        <w:t>13</w:t>
      </w:r>
      <w:r w:rsidRPr="00A509BE">
        <w:rPr>
          <w:sz w:val="21"/>
          <w:szCs w:val="21"/>
        </w:rPr>
        <w:t>(3), 313–327. https://doi.org/10.1007/s13534-023-00305-8</w:t>
      </w:r>
    </w:p>
    <w:p w14:paraId="736AB421" w14:textId="77777777" w:rsidR="00A129D9" w:rsidRPr="00A509BE" w:rsidRDefault="00A129D9">
      <w:pPr>
        <w:spacing w:before="200"/>
        <w:rPr>
          <w:sz w:val="21"/>
          <w:szCs w:val="21"/>
        </w:rPr>
      </w:pPr>
    </w:p>
    <w:p w14:paraId="5F8D3DB0" w14:textId="77777777" w:rsidR="00A129D9" w:rsidRDefault="00000000">
      <w:pPr>
        <w:pBdr>
          <w:top w:val="single" w:sz="4" w:space="0" w:color="D1D5DB"/>
        </w:pBdr>
        <w:spacing w:before="320" w:after="80"/>
        <w:jc w:val="right"/>
      </w:pPr>
      <w:r>
        <w:rPr>
          <w:i/>
          <w:iCs/>
          <w:color w:val="6B7280"/>
          <w:sz w:val="18"/>
          <w:szCs w:val="18"/>
        </w:rPr>
        <w:t>Continúa en Capítulo 2 — Marco Teórico</w:t>
      </w:r>
    </w:p>
    <w:sectPr w:rsidR="00A129D9">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F1A35" w14:textId="77777777" w:rsidR="00531903" w:rsidRDefault="00531903">
      <w:r>
        <w:separator/>
      </w:r>
    </w:p>
  </w:endnote>
  <w:endnote w:type="continuationSeparator" w:id="0">
    <w:p w14:paraId="4C09A422" w14:textId="77777777" w:rsidR="00531903" w:rsidRDefault="00531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B6B9" w14:textId="77777777" w:rsidR="00A129D9"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46533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E9A4C" w14:textId="77777777" w:rsidR="00531903" w:rsidRDefault="00531903">
      <w:r>
        <w:separator/>
      </w:r>
    </w:p>
  </w:footnote>
  <w:footnote w:type="continuationSeparator" w:id="0">
    <w:p w14:paraId="4E540ECE" w14:textId="77777777" w:rsidR="00531903" w:rsidRDefault="00531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4E4B" w14:textId="2B7FEF51" w:rsidR="00A129D9"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(v0</w:t>
    </w:r>
    <w:r w:rsidR="00DD2E4B">
      <w:rPr>
        <w:i/>
        <w:iCs/>
        <w:color w:val="6B7280"/>
        <w:sz w:val="18"/>
        <w:szCs w:val="18"/>
      </w:rPr>
      <w:t>6</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45DDA"/>
    <w:multiLevelType w:val="hybridMultilevel"/>
    <w:tmpl w:val="6AD6212C"/>
    <w:lvl w:ilvl="0" w:tplc="1F403A12">
      <w:start w:val="1"/>
      <w:numFmt w:val="bullet"/>
      <w:lvlText w:val="●"/>
      <w:lvlJc w:val="left"/>
      <w:pPr>
        <w:ind w:left="720" w:hanging="360"/>
      </w:pPr>
    </w:lvl>
    <w:lvl w:ilvl="1" w:tplc="53008812">
      <w:start w:val="1"/>
      <w:numFmt w:val="bullet"/>
      <w:lvlText w:val="○"/>
      <w:lvlJc w:val="left"/>
      <w:pPr>
        <w:ind w:left="1440" w:hanging="360"/>
      </w:pPr>
    </w:lvl>
    <w:lvl w:ilvl="2" w:tplc="9E70CF4E">
      <w:start w:val="1"/>
      <w:numFmt w:val="bullet"/>
      <w:lvlText w:val="■"/>
      <w:lvlJc w:val="left"/>
      <w:pPr>
        <w:ind w:left="2160" w:hanging="360"/>
      </w:pPr>
    </w:lvl>
    <w:lvl w:ilvl="3" w:tplc="5CF82262">
      <w:start w:val="1"/>
      <w:numFmt w:val="bullet"/>
      <w:lvlText w:val="●"/>
      <w:lvlJc w:val="left"/>
      <w:pPr>
        <w:ind w:left="2880" w:hanging="360"/>
      </w:pPr>
    </w:lvl>
    <w:lvl w:ilvl="4" w:tplc="8FE81D94">
      <w:start w:val="1"/>
      <w:numFmt w:val="bullet"/>
      <w:lvlText w:val="○"/>
      <w:lvlJc w:val="left"/>
      <w:pPr>
        <w:ind w:left="3600" w:hanging="360"/>
      </w:pPr>
    </w:lvl>
    <w:lvl w:ilvl="5" w:tplc="4028B3DA">
      <w:start w:val="1"/>
      <w:numFmt w:val="bullet"/>
      <w:lvlText w:val="■"/>
      <w:lvlJc w:val="left"/>
      <w:pPr>
        <w:ind w:left="4320" w:hanging="360"/>
      </w:pPr>
    </w:lvl>
    <w:lvl w:ilvl="6" w:tplc="20445B2A">
      <w:start w:val="1"/>
      <w:numFmt w:val="bullet"/>
      <w:lvlText w:val="●"/>
      <w:lvlJc w:val="left"/>
      <w:pPr>
        <w:ind w:left="5040" w:hanging="360"/>
      </w:pPr>
    </w:lvl>
    <w:lvl w:ilvl="7" w:tplc="CE786150">
      <w:start w:val="1"/>
      <w:numFmt w:val="bullet"/>
      <w:lvlText w:val="●"/>
      <w:lvlJc w:val="left"/>
      <w:pPr>
        <w:ind w:left="5760" w:hanging="360"/>
      </w:pPr>
    </w:lvl>
    <w:lvl w:ilvl="8" w:tplc="AE3A82C6">
      <w:start w:val="1"/>
      <w:numFmt w:val="bullet"/>
      <w:lvlText w:val="●"/>
      <w:lvlJc w:val="left"/>
      <w:pPr>
        <w:ind w:left="6480" w:hanging="360"/>
      </w:pPr>
    </w:lvl>
  </w:abstractNum>
  <w:abstractNum w:abstractNumId="1" w15:restartNumberingAfterBreak="0">
    <w:nsid w:val="7EFF5453"/>
    <w:multiLevelType w:val="hybridMultilevel"/>
    <w:tmpl w:val="80583572"/>
    <w:lvl w:ilvl="0" w:tplc="B2DE7270">
      <w:start w:val="1"/>
      <w:numFmt w:val="bullet"/>
      <w:lvlText w:val="•"/>
      <w:lvlJc w:val="left"/>
      <w:pPr>
        <w:spacing w:before="40" w:after="80"/>
        <w:ind w:left="720" w:hanging="360"/>
      </w:pPr>
    </w:lvl>
    <w:lvl w:ilvl="1" w:tplc="8BA22E52">
      <w:numFmt w:val="decimal"/>
      <w:lvlText w:val=""/>
      <w:lvlJc w:val="left"/>
    </w:lvl>
    <w:lvl w:ilvl="2" w:tplc="728CCB68">
      <w:numFmt w:val="decimal"/>
      <w:lvlText w:val=""/>
      <w:lvlJc w:val="left"/>
    </w:lvl>
    <w:lvl w:ilvl="3" w:tplc="CF90872E">
      <w:numFmt w:val="decimal"/>
      <w:lvlText w:val=""/>
      <w:lvlJc w:val="left"/>
    </w:lvl>
    <w:lvl w:ilvl="4" w:tplc="75827E8E">
      <w:numFmt w:val="decimal"/>
      <w:lvlText w:val=""/>
      <w:lvlJc w:val="left"/>
    </w:lvl>
    <w:lvl w:ilvl="5" w:tplc="6B900D7E">
      <w:numFmt w:val="decimal"/>
      <w:lvlText w:val=""/>
      <w:lvlJc w:val="left"/>
    </w:lvl>
    <w:lvl w:ilvl="6" w:tplc="DAF4597C">
      <w:numFmt w:val="decimal"/>
      <w:lvlText w:val=""/>
      <w:lvlJc w:val="left"/>
    </w:lvl>
    <w:lvl w:ilvl="7" w:tplc="6564179C">
      <w:numFmt w:val="decimal"/>
      <w:lvlText w:val=""/>
      <w:lvlJc w:val="left"/>
    </w:lvl>
    <w:lvl w:ilvl="8" w:tplc="26E6BE66">
      <w:numFmt w:val="decimal"/>
      <w:lvlText w:val=""/>
      <w:lvlJc w:val="left"/>
    </w:lvl>
  </w:abstractNum>
  <w:num w:numId="1" w16cid:durableId="1577324423">
    <w:abstractNumId w:val="0"/>
    <w:lvlOverride w:ilvl="0">
      <w:startOverride w:val="1"/>
    </w:lvlOverride>
  </w:num>
  <w:num w:numId="2" w16cid:durableId="1852258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D9"/>
    <w:rsid w:val="00051B62"/>
    <w:rsid w:val="00062026"/>
    <w:rsid w:val="00066A8C"/>
    <w:rsid w:val="00126CB9"/>
    <w:rsid w:val="0018718B"/>
    <w:rsid w:val="001919A7"/>
    <w:rsid w:val="002627AA"/>
    <w:rsid w:val="002819B2"/>
    <w:rsid w:val="003A17DA"/>
    <w:rsid w:val="0044129A"/>
    <w:rsid w:val="00465338"/>
    <w:rsid w:val="00495A78"/>
    <w:rsid w:val="00531903"/>
    <w:rsid w:val="00565D74"/>
    <w:rsid w:val="005C5C93"/>
    <w:rsid w:val="00721BE2"/>
    <w:rsid w:val="007D194B"/>
    <w:rsid w:val="008150AC"/>
    <w:rsid w:val="00862694"/>
    <w:rsid w:val="0086275D"/>
    <w:rsid w:val="00917378"/>
    <w:rsid w:val="00931CC2"/>
    <w:rsid w:val="00A129D9"/>
    <w:rsid w:val="00A509BE"/>
    <w:rsid w:val="00C4532F"/>
    <w:rsid w:val="00CB045B"/>
    <w:rsid w:val="00CE59C9"/>
    <w:rsid w:val="00DD2E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681A844"/>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fasis">
    <w:name w:val="Emphasis"/>
    <w:basedOn w:val="Fuentedeprrafopredeter"/>
    <w:uiPriority w:val="20"/>
    <w:qFormat/>
    <w:rsid w:val="00465338"/>
    <w:rPr>
      <w:i/>
      <w:iCs/>
    </w:rPr>
  </w:style>
  <w:style w:type="paragraph" w:customStyle="1" w:styleId="p1">
    <w:name w:val="p1"/>
    <w:basedOn w:val="Normal"/>
    <w:rsid w:val="00CE59C9"/>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DD2E4B"/>
    <w:pPr>
      <w:tabs>
        <w:tab w:val="center" w:pos="4419"/>
        <w:tab w:val="right" w:pos="8838"/>
      </w:tabs>
    </w:pPr>
  </w:style>
  <w:style w:type="character" w:customStyle="1" w:styleId="EncabezadoCar">
    <w:name w:val="Encabezado Car"/>
    <w:basedOn w:val="Fuentedeprrafopredeter"/>
    <w:link w:val="Encabezado"/>
    <w:uiPriority w:val="99"/>
    <w:rsid w:val="00DD2E4B"/>
  </w:style>
  <w:style w:type="paragraph" w:styleId="Piedepgina">
    <w:name w:val="footer"/>
    <w:basedOn w:val="Normal"/>
    <w:link w:val="PiedepginaCar"/>
    <w:uiPriority w:val="99"/>
    <w:unhideWhenUsed/>
    <w:rsid w:val="00DD2E4B"/>
    <w:pPr>
      <w:tabs>
        <w:tab w:val="center" w:pos="4419"/>
        <w:tab w:val="right" w:pos="8838"/>
      </w:tabs>
    </w:pPr>
  </w:style>
  <w:style w:type="character" w:customStyle="1" w:styleId="PiedepginaCar">
    <w:name w:val="Pie de página Car"/>
    <w:basedOn w:val="Fuentedeprrafopredeter"/>
    <w:link w:val="Piedepgina"/>
    <w:uiPriority w:val="99"/>
    <w:rsid w:val="00DD2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3599</Words>
  <Characters>21887</Characters>
  <Application>Microsoft Office Word</Application>
  <DocSecurity>0</DocSecurity>
  <Lines>547</Lines>
  <Paragraphs>179</Paragraphs>
  <ScaleCrop>false</ScaleCrop>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10</cp:revision>
  <dcterms:created xsi:type="dcterms:W3CDTF">2026-05-21T22:41:00Z</dcterms:created>
  <dcterms:modified xsi:type="dcterms:W3CDTF">2026-05-21T22:49:00Z</dcterms:modified>
</cp:coreProperties>
</file>