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92DB" w14:textId="77777777" w:rsidR="00042CF4" w:rsidRPr="004A2F72" w:rsidRDefault="00000000">
      <w:pPr>
        <w:spacing w:after="40"/>
        <w:rPr>
          <w:rFonts w:asciiTheme="minorHAnsi" w:hAnsiTheme="minorHAnsi"/>
        </w:rPr>
      </w:pPr>
      <w:r w:rsidRPr="004A2F72">
        <w:rPr>
          <w:rFonts w:asciiTheme="minorHAnsi" w:hAnsiTheme="minorHAnsi"/>
          <w:b/>
          <w:bCs/>
          <w:caps/>
          <w:color w:val="6B7280"/>
          <w:sz w:val="20"/>
          <w:szCs w:val="20"/>
        </w:rPr>
        <w:t>CAPÍTULO 1</w:t>
      </w:r>
    </w:p>
    <w:p w14:paraId="4958922E" w14:textId="77777777" w:rsidR="00042CF4" w:rsidRPr="004A2F72" w:rsidRDefault="00000000">
      <w:pPr>
        <w:spacing w:after="80"/>
        <w:rPr>
          <w:rFonts w:asciiTheme="minorHAnsi" w:hAnsiTheme="minorHAnsi"/>
        </w:rPr>
      </w:pPr>
      <w:r w:rsidRPr="004A2F72">
        <w:rPr>
          <w:rFonts w:asciiTheme="minorHAnsi" w:hAnsiTheme="minorHAnsi"/>
          <w:b/>
          <w:bCs/>
          <w:color w:val="1E3A5F"/>
          <w:sz w:val="36"/>
          <w:szCs w:val="36"/>
        </w:rPr>
        <w:t>Introducción</w:t>
      </w:r>
    </w:p>
    <w:p w14:paraId="65ECD882" w14:textId="1CC1C75B" w:rsidR="00042CF4" w:rsidRPr="004A2F72" w:rsidRDefault="00000000">
      <w:pPr>
        <w:pBdr>
          <w:bottom w:val="single" w:sz="6" w:space="0" w:color="1E3A5F"/>
        </w:pBdr>
        <w:spacing w:after="400"/>
        <w:rPr>
          <w:rFonts w:asciiTheme="minorHAnsi" w:hAnsiTheme="minorHAnsi"/>
        </w:rPr>
      </w:pPr>
      <w:r w:rsidRPr="004A2F72">
        <w:rPr>
          <w:rFonts w:asciiTheme="minorHAnsi" w:hAnsiTheme="minorHAnsi"/>
          <w:i/>
          <w:iCs/>
          <w:color w:val="6B7280"/>
          <w:sz w:val="18"/>
          <w:szCs w:val="18"/>
        </w:rPr>
        <w:t xml:space="preserve">Versión </w:t>
      </w:r>
      <w:r w:rsidR="004D3E74" w:rsidRPr="004A2F72">
        <w:rPr>
          <w:rFonts w:asciiTheme="minorHAnsi" w:hAnsiTheme="minorHAnsi"/>
          <w:i/>
          <w:iCs/>
          <w:color w:val="6B7280"/>
          <w:sz w:val="18"/>
          <w:szCs w:val="18"/>
        </w:rPr>
        <w:t>10</w:t>
      </w:r>
      <w:r w:rsidRPr="004A2F72">
        <w:rPr>
          <w:rFonts w:asciiTheme="minorHAnsi" w:hAnsiTheme="minorHAnsi"/>
          <w:i/>
          <w:iCs/>
          <w:color w:val="6B7280"/>
          <w:sz w:val="18"/>
          <w:szCs w:val="18"/>
        </w:rPr>
        <w:t xml:space="preserve">  ·  Mayo 2026</w:t>
      </w:r>
    </w:p>
    <w:p w14:paraId="4A3ADF59" w14:textId="77777777" w:rsidR="00042CF4" w:rsidRPr="004A2F72" w:rsidRDefault="00000000">
      <w:pPr>
        <w:pStyle w:val="Ttulo2"/>
        <w:rPr>
          <w:rFonts w:asciiTheme="minorHAnsi" w:hAnsiTheme="minorHAnsi"/>
        </w:rPr>
      </w:pPr>
      <w:r w:rsidRPr="004A2F72">
        <w:rPr>
          <w:rFonts w:asciiTheme="minorHAnsi" w:hAnsiTheme="minorHAnsi"/>
        </w:rPr>
        <w:t>1.1 Problema de investigación</w:t>
      </w:r>
    </w:p>
    <w:p w14:paraId="55160382" w14:textId="1D9588CE" w:rsidR="000B7CEC" w:rsidRPr="004A2F72" w:rsidRDefault="000B7CEC" w:rsidP="000B7CEC">
      <w:pPr>
        <w:pStyle w:val="p1"/>
        <w:jc w:val="both"/>
        <w:rPr>
          <w:rFonts w:asciiTheme="minorHAnsi" w:hAnsiTheme="minorHAnsi" w:cs="Arial"/>
          <w:sz w:val="22"/>
          <w:szCs w:val="22"/>
        </w:rPr>
      </w:pPr>
      <w:r w:rsidRPr="004A2F72">
        <w:rPr>
          <w:rFonts w:asciiTheme="minorHAnsi" w:hAnsiTheme="minorHAnsi" w:cs="Arial"/>
          <w:sz w:val="22"/>
          <w:szCs w:val="22"/>
        </w:rPr>
        <w:t xml:space="preserve">El síndrome de apnea obstructiva del sueño es uno de los trastornos respiratorios más prevalentes y subdiagnosticados en adultos (Benjafield et al., 2019). Su evaluación clínica se basa habitualmente en índices agregados, como el índice de </w:t>
      </w:r>
      <w:r w:rsidRPr="004A2F72">
        <w:rPr>
          <w:rFonts w:asciiTheme="minorHAnsi" w:hAnsiTheme="minorHAnsi" w:cs="Arial"/>
          <w:b/>
          <w:bCs/>
          <w:sz w:val="22"/>
          <w:szCs w:val="22"/>
        </w:rPr>
        <w:t>apnea-hipopnea</w:t>
      </w:r>
      <w:r w:rsidR="00B5555F" w:rsidRPr="004A2F72">
        <w:rPr>
          <w:rFonts w:asciiTheme="minorHAnsi" w:hAnsiTheme="minorHAnsi" w:cs="Arial"/>
          <w:b/>
          <w:bCs/>
          <w:sz w:val="22"/>
          <w:szCs w:val="22"/>
        </w:rPr>
        <w:t xml:space="preserve"> (AHI)</w:t>
      </w:r>
      <w:r w:rsidRPr="004A2F72">
        <w:rPr>
          <w:rFonts w:asciiTheme="minorHAnsi" w:hAnsiTheme="minorHAnsi" w:cs="Arial"/>
          <w:sz w:val="22"/>
          <w:szCs w:val="22"/>
        </w:rPr>
        <w:t xml:space="preserve">, el </w:t>
      </w:r>
      <w:r w:rsidRPr="004A2F72">
        <w:rPr>
          <w:rFonts w:asciiTheme="minorHAnsi" w:hAnsiTheme="minorHAnsi" w:cs="Arial"/>
          <w:b/>
          <w:bCs/>
          <w:sz w:val="22"/>
          <w:szCs w:val="22"/>
        </w:rPr>
        <w:t xml:space="preserve">índice de desaturación de oxígeno </w:t>
      </w:r>
      <w:r w:rsidR="00B5555F" w:rsidRPr="004A2F72">
        <w:rPr>
          <w:rFonts w:asciiTheme="minorHAnsi" w:hAnsiTheme="minorHAnsi" w:cs="Arial"/>
          <w:b/>
          <w:bCs/>
          <w:sz w:val="22"/>
          <w:szCs w:val="22"/>
        </w:rPr>
        <w:t xml:space="preserve">(ODI) </w:t>
      </w:r>
      <w:r w:rsidRPr="004A2F72">
        <w:rPr>
          <w:rFonts w:asciiTheme="minorHAnsi" w:hAnsiTheme="minorHAnsi" w:cs="Arial"/>
          <w:sz w:val="22"/>
          <w:szCs w:val="22"/>
        </w:rPr>
        <w:t xml:space="preserve">y el </w:t>
      </w:r>
      <w:r w:rsidRPr="004A2F72">
        <w:rPr>
          <w:rFonts w:asciiTheme="minorHAnsi" w:hAnsiTheme="minorHAnsi" w:cs="Arial"/>
          <w:b/>
          <w:bCs/>
          <w:sz w:val="22"/>
          <w:szCs w:val="22"/>
        </w:rPr>
        <w:t>tiempo con saturación por debajo de un umbral</w:t>
      </w:r>
      <w:r w:rsidRPr="004A2F72">
        <w:rPr>
          <w:rFonts w:asciiTheme="minorHAnsi" w:hAnsiTheme="minorHAnsi" w:cs="Arial"/>
          <w:sz w:val="22"/>
          <w:szCs w:val="22"/>
        </w:rPr>
        <w:t xml:space="preserve"> </w:t>
      </w:r>
      <w:r w:rsidRPr="004A2F72">
        <w:rPr>
          <w:rFonts w:asciiTheme="minorHAnsi" w:hAnsiTheme="minorHAnsi" w:cs="Arial"/>
          <w:b/>
          <w:bCs/>
          <w:sz w:val="22"/>
          <w:szCs w:val="22"/>
        </w:rPr>
        <w:t>(T90)</w:t>
      </w:r>
      <w:r w:rsidRPr="004A2F72">
        <w:rPr>
          <w:rFonts w:asciiTheme="minorHAnsi" w:hAnsiTheme="minorHAnsi" w:cs="Arial"/>
          <w:sz w:val="22"/>
          <w:szCs w:val="22"/>
        </w:rPr>
        <w:t>, definidos por consensos internacionales (Berry et al., 2012). Aunque útiles para la clasificación inicial, estos indicadores resumen una noche completa en un único valor y resultan insuficientes para describir la complejidad fisiológica del fenómeno.</w:t>
      </w:r>
    </w:p>
    <w:p w14:paraId="0D0B63F0" w14:textId="1F7CCAD5" w:rsidR="000B7CEC" w:rsidRPr="004A2F72" w:rsidRDefault="000B7CEC" w:rsidP="000B7CEC">
      <w:pPr>
        <w:pStyle w:val="p1"/>
        <w:jc w:val="both"/>
        <w:rPr>
          <w:rFonts w:asciiTheme="minorHAnsi" w:hAnsiTheme="minorHAnsi" w:cs="Arial"/>
          <w:sz w:val="22"/>
          <w:szCs w:val="22"/>
        </w:rPr>
      </w:pPr>
      <w:r w:rsidRPr="004A2F72">
        <w:rPr>
          <w:rFonts w:asciiTheme="minorHAnsi" w:hAnsiTheme="minorHAnsi" w:cs="Arial"/>
          <w:sz w:val="22"/>
          <w:szCs w:val="22"/>
        </w:rPr>
        <w:t>La principal limitación de estos índices es que no capturan la dinámica temporal ni la heterogeneidad intranoche. Un mismo índice de desaturación puede corresponder a perfiles muy distintos, desde pocos eventos profundos y prolongados hasta múltiples eventos breves y superficiales. Esta simplificación limita la comprensión de la variabilidad clínica del síndrome y dificulta la identificación de fenotipos fisiológicos latentes no revelados por los índices clásicos (Malhotra et al., 2021).</w:t>
      </w:r>
    </w:p>
    <w:p w14:paraId="3A34301E" w14:textId="117E1457" w:rsidR="000B7CEC" w:rsidRPr="004A2F72" w:rsidRDefault="000B7CEC" w:rsidP="000B7CEC">
      <w:pPr>
        <w:pStyle w:val="p1"/>
        <w:jc w:val="both"/>
        <w:rPr>
          <w:rFonts w:asciiTheme="minorHAnsi" w:hAnsiTheme="minorHAnsi" w:cs="Arial"/>
          <w:sz w:val="22"/>
          <w:szCs w:val="22"/>
        </w:rPr>
      </w:pPr>
      <w:r w:rsidRPr="004A2F72">
        <w:rPr>
          <w:rFonts w:asciiTheme="minorHAnsi" w:hAnsiTheme="minorHAnsi" w:cs="Arial"/>
          <w:sz w:val="22"/>
          <w:szCs w:val="22"/>
        </w:rPr>
        <w:t>La disponibilidad creciente de sensores portátiles domiciliarios permite registrar de forma continua saturación de oxígeno, frecuencia cardíaca y movimiento durante múltiples noches consecutivas (Kapur et al., 2017). Estos registros generan series temporales multivariadas de alta resolución, con información densa sobre la fisiología nocturna, aunque su análisis se ve limitado por ruido, artefactos y falta de marcos metodológicos estandarizados.</w:t>
      </w:r>
    </w:p>
    <w:p w14:paraId="7F26C0CB" w14:textId="77777777" w:rsidR="000B7CEC" w:rsidRPr="004A2F72" w:rsidRDefault="000B7CEC" w:rsidP="000B7CEC">
      <w:pPr>
        <w:pStyle w:val="p1"/>
        <w:jc w:val="both"/>
        <w:rPr>
          <w:rFonts w:asciiTheme="minorHAnsi" w:hAnsiTheme="minorHAnsi" w:cs="Arial"/>
          <w:sz w:val="22"/>
          <w:szCs w:val="22"/>
        </w:rPr>
      </w:pPr>
      <w:r w:rsidRPr="004A2F72">
        <w:rPr>
          <w:rFonts w:asciiTheme="minorHAnsi" w:hAnsiTheme="minorHAnsi" w:cs="Arial"/>
          <w:sz w:val="22"/>
          <w:szCs w:val="22"/>
        </w:rPr>
        <w:t>En este contexto, el problema que motiva este trabajo es doble: desarrollar herramientas reproducibles para analizar series temporales fisiológicas nocturnas, desde eventos individuales hasta patrones dinámicos globales, y transformar esa información en representaciones interpretables para la evaluación y seguimiento clínico. El estudio se basa en registros domiciliarios longitudinales multinocturnos, cuyo volumen y complejidad justifican un enfoque sistemático de Ciencia de Datos para convertir la señal cruda en información clínica útil.</w:t>
      </w:r>
    </w:p>
    <w:p w14:paraId="17CB0499" w14:textId="77777777" w:rsidR="00042CF4" w:rsidRPr="004A2F72" w:rsidRDefault="00000000">
      <w:pPr>
        <w:pStyle w:val="Ttulo2"/>
        <w:rPr>
          <w:rFonts w:asciiTheme="minorHAnsi" w:hAnsiTheme="minorHAnsi"/>
        </w:rPr>
      </w:pPr>
      <w:r w:rsidRPr="004A2F72">
        <w:rPr>
          <w:rFonts w:asciiTheme="minorHAnsi" w:hAnsiTheme="minorHAnsi"/>
        </w:rPr>
        <w:t>1.2 Vinculación con el ámbito laboral</w:t>
      </w:r>
    </w:p>
    <w:p w14:paraId="67CDC810" w14:textId="79DCE0CA" w:rsidR="000B7CEC" w:rsidRPr="004A2F72" w:rsidRDefault="000B7CEC" w:rsidP="000B7CEC">
      <w:pPr>
        <w:pStyle w:val="p1"/>
        <w:jc w:val="both"/>
        <w:rPr>
          <w:rFonts w:asciiTheme="minorHAnsi" w:hAnsiTheme="minorHAnsi" w:cs="Arial"/>
          <w:sz w:val="22"/>
          <w:szCs w:val="22"/>
        </w:rPr>
      </w:pPr>
      <w:r w:rsidRPr="004A2F72">
        <w:rPr>
          <w:rFonts w:asciiTheme="minorHAnsi" w:hAnsiTheme="minorHAnsi" w:cs="Arial"/>
          <w:sz w:val="22"/>
          <w:szCs w:val="22"/>
        </w:rPr>
        <w:t>El monitoreo domiciliario nocturno mediante oximetría portátil es una herramienta habitual en la evaluación de pacientes con trastornos respiratorios del sueño, ya que permite registrar saturación de oxígeno, frecuencia cardíaca y movimiento en condiciones reales y durante múltiples noches consecutivas, sin las restricciones del laboratorio de sueño (Yoon &amp; Choi, 2023). Sin embargo, los dispositivos disponibles suelen reducir esta riqueza temporal a unos pocos índices agregados, dejando sin explotar información sobre la morfología de los eventos, su distribución nocturna, la respuesta autonómica y la dinámica de recuperación (Malhotra et al., 2021).</w:t>
      </w:r>
    </w:p>
    <w:p w14:paraId="5C80F13E" w14:textId="77777777" w:rsidR="000B7CEC" w:rsidRPr="004A2F72" w:rsidRDefault="000B7CEC" w:rsidP="000B7CEC">
      <w:pPr>
        <w:pStyle w:val="p1"/>
        <w:jc w:val="both"/>
        <w:rPr>
          <w:rFonts w:asciiTheme="minorHAnsi" w:hAnsiTheme="minorHAnsi" w:cs="Arial"/>
          <w:sz w:val="22"/>
          <w:szCs w:val="22"/>
        </w:rPr>
      </w:pPr>
      <w:r w:rsidRPr="004A2F72">
        <w:rPr>
          <w:rFonts w:asciiTheme="minorHAnsi" w:hAnsiTheme="minorHAnsi" w:cs="Arial"/>
          <w:sz w:val="22"/>
          <w:szCs w:val="22"/>
        </w:rPr>
        <w:t xml:space="preserve">Desde esta experiencia, el trabajo propone una metodología para cerrar esa brecha: un pipeline estructurado y reproducible que transforme registros domiciliarios en representaciones fisiológicas más ricas, junto con una herramienta interactiva orientada a </w:t>
      </w:r>
      <w:r w:rsidRPr="004A2F72">
        <w:rPr>
          <w:rFonts w:asciiTheme="minorHAnsi" w:hAnsiTheme="minorHAnsi" w:cs="Arial"/>
          <w:sz w:val="22"/>
          <w:szCs w:val="22"/>
        </w:rPr>
        <w:lastRenderedPageBreak/>
        <w:t>la práctica médica. La metodología se plantea como extensible a estudios multicéntricos, escalable a cohortes mayores y potencialmente adaptable a escenarios de análisis en tiempo real.</w:t>
      </w:r>
    </w:p>
    <w:p w14:paraId="57D6DBDE" w14:textId="77777777" w:rsidR="00042CF4" w:rsidRPr="004A2F72" w:rsidRDefault="00000000">
      <w:pPr>
        <w:pStyle w:val="Ttulo2"/>
        <w:rPr>
          <w:rFonts w:asciiTheme="minorHAnsi" w:hAnsiTheme="minorHAnsi"/>
        </w:rPr>
      </w:pPr>
      <w:r w:rsidRPr="004A2F72">
        <w:rPr>
          <w:rFonts w:asciiTheme="minorHAnsi" w:hAnsiTheme="minorHAnsi"/>
        </w:rPr>
        <w:t>1.3 Solución al problema identificado</w:t>
      </w:r>
    </w:p>
    <w:p w14:paraId="3F8784F4" w14:textId="77777777" w:rsidR="00180F9A" w:rsidRPr="004A2F72" w:rsidRDefault="00180F9A" w:rsidP="00180F9A">
      <w:pPr>
        <w:pStyle w:val="p1"/>
        <w:jc w:val="both"/>
        <w:rPr>
          <w:rFonts w:asciiTheme="minorHAnsi" w:hAnsiTheme="minorHAnsi" w:cs="Arial"/>
          <w:sz w:val="22"/>
          <w:szCs w:val="22"/>
        </w:rPr>
      </w:pPr>
      <w:r w:rsidRPr="004A2F72">
        <w:rPr>
          <w:rFonts w:asciiTheme="minorHAnsi" w:hAnsiTheme="minorHAnsi" w:cs="Arial"/>
          <w:sz w:val="22"/>
          <w:szCs w:val="22"/>
        </w:rPr>
        <w:t xml:space="preserve">El </w:t>
      </w:r>
      <w:r w:rsidRPr="004A2F72">
        <w:rPr>
          <w:rFonts w:asciiTheme="minorHAnsi" w:hAnsiTheme="minorHAnsi" w:cs="Arial"/>
          <w:b/>
          <w:bCs/>
          <w:sz w:val="22"/>
          <w:szCs w:val="22"/>
        </w:rPr>
        <w:t>Proyecto de Análisis Continuo (PAC)</w:t>
      </w:r>
      <w:r w:rsidRPr="004A2F72">
        <w:rPr>
          <w:rFonts w:asciiTheme="minorHAnsi" w:hAnsiTheme="minorHAnsi" w:cs="Arial"/>
          <w:sz w:val="22"/>
          <w:szCs w:val="22"/>
        </w:rPr>
        <w:t xml:space="preserve"> propone un marco metodológico reproducible para el análisis multiescala de series temporales fisiológicas nocturnas obtenidas mediante sensores portátiles domiciliarios. El pipeline </w:t>
      </w:r>
      <w:r w:rsidRPr="004A2F72">
        <w:rPr>
          <w:rFonts w:asciiTheme="minorHAnsi" w:hAnsiTheme="minorHAnsi" w:cs="Arial"/>
          <w:b/>
          <w:bCs/>
          <w:sz w:val="22"/>
          <w:szCs w:val="22"/>
        </w:rPr>
        <w:t>PAC_v3</w:t>
      </w:r>
      <w:r w:rsidRPr="004A2F72">
        <w:rPr>
          <w:rFonts w:asciiTheme="minorHAnsi" w:hAnsiTheme="minorHAnsi" w:cs="Arial"/>
          <w:sz w:val="22"/>
          <w:szCs w:val="22"/>
        </w:rPr>
        <w:t xml:space="preserve"> representa la evolución de un enfoque inicial centrado en el análisis de señales fisiológicas nocturnas hacia una arquitectura integral que analiza señales continuas de saturación de oxígeno, frecuencia cardíaca y movimiento, y transforma registros crudos en representaciones estructuradas y trazables mediante cuatro zonas de procesamiento: </w:t>
      </w:r>
      <w:r w:rsidRPr="004A2F72">
        <w:rPr>
          <w:rFonts w:asciiTheme="minorHAnsi" w:hAnsiTheme="minorHAnsi" w:cs="Arial"/>
          <w:b/>
          <w:bCs/>
          <w:sz w:val="22"/>
          <w:szCs w:val="22"/>
        </w:rPr>
        <w:t>Bronze, Silver, Eventos y Gold</w:t>
      </w:r>
      <w:r w:rsidRPr="004A2F72">
        <w:rPr>
          <w:rFonts w:asciiTheme="minorHAnsi" w:hAnsiTheme="minorHAnsi" w:cs="Arial"/>
          <w:sz w:val="22"/>
          <w:szCs w:val="22"/>
        </w:rPr>
        <w:t>.</w:t>
      </w:r>
    </w:p>
    <w:p w14:paraId="669337B7" w14:textId="70878DD5" w:rsidR="00B64F0B" w:rsidRPr="004A2F72" w:rsidRDefault="00B64F0B" w:rsidP="00B64F0B">
      <w:pPr>
        <w:pStyle w:val="p1"/>
        <w:jc w:val="both"/>
        <w:rPr>
          <w:rFonts w:asciiTheme="minorHAnsi" w:hAnsiTheme="minorHAnsi" w:cs="Arial"/>
          <w:sz w:val="22"/>
          <w:szCs w:val="22"/>
        </w:rPr>
      </w:pPr>
      <w:r w:rsidRPr="004A2F72">
        <w:rPr>
          <w:rFonts w:asciiTheme="minorHAnsi" w:hAnsiTheme="minorHAnsi" w:cs="Arial"/>
          <w:sz w:val="22"/>
          <w:szCs w:val="22"/>
        </w:rPr>
        <w:t xml:space="preserve">El enfoque avanza desde los eventos individuales hacia la estructura global de la noche. En primer lugar, define el </w:t>
      </w:r>
      <w:r w:rsidRPr="004A2F72">
        <w:rPr>
          <w:rFonts w:asciiTheme="minorHAnsi" w:hAnsiTheme="minorHAnsi" w:cs="Arial"/>
          <w:b/>
          <w:bCs/>
          <w:sz w:val="22"/>
          <w:szCs w:val="22"/>
        </w:rPr>
        <w:t xml:space="preserve">Evento de Desaturación de Oxígeno (EDO) </w:t>
      </w:r>
      <w:r w:rsidRPr="004A2F72">
        <w:rPr>
          <w:rFonts w:asciiTheme="minorHAnsi" w:hAnsiTheme="minorHAnsi" w:cs="Arial"/>
          <w:sz w:val="22"/>
          <w:szCs w:val="22"/>
        </w:rPr>
        <w:t xml:space="preserve">como unidad fisiológica elemental y analiza la curva completa de cada evento mediante agrupamiento no supervisado, identificando cinco morfotipos recurrentes (C1 a C5), diferenciados por profundidad, duración, recuperación y carga hipóxica. A ello se suma el </w:t>
      </w:r>
      <w:r w:rsidRPr="004A2F72">
        <w:rPr>
          <w:rFonts w:asciiTheme="minorHAnsi" w:hAnsiTheme="minorHAnsi" w:cs="Arial"/>
          <w:b/>
          <w:bCs/>
          <w:sz w:val="22"/>
          <w:szCs w:val="22"/>
        </w:rPr>
        <w:t>Índice de Respuesta Autonómica (ARI)</w:t>
      </w:r>
      <w:r w:rsidRPr="004A2F72">
        <w:rPr>
          <w:rFonts w:asciiTheme="minorHAnsi" w:hAnsiTheme="minorHAnsi" w:cs="Arial"/>
          <w:sz w:val="22"/>
          <w:szCs w:val="22"/>
        </w:rPr>
        <w:t>, que cuantifica la respuesta cardíaca relativa frente a la caída de saturación y se evalúa como dimensión complementaria a los índices clásicos.</w:t>
      </w:r>
    </w:p>
    <w:p w14:paraId="3A885C53" w14:textId="43B06BC4" w:rsidR="00B64F0B" w:rsidRPr="004A2F72" w:rsidRDefault="00B64F0B" w:rsidP="00B64F0B">
      <w:pPr>
        <w:pStyle w:val="p1"/>
        <w:jc w:val="both"/>
        <w:rPr>
          <w:rFonts w:asciiTheme="minorHAnsi" w:hAnsiTheme="minorHAnsi" w:cs="Arial"/>
          <w:sz w:val="22"/>
          <w:szCs w:val="22"/>
        </w:rPr>
      </w:pPr>
      <w:r w:rsidRPr="004A2F72">
        <w:rPr>
          <w:rFonts w:asciiTheme="minorHAnsi" w:hAnsiTheme="minorHAnsi" w:cs="Arial"/>
          <w:sz w:val="22"/>
          <w:szCs w:val="22"/>
        </w:rPr>
        <w:t xml:space="preserve">En segundo lugar, PAC incorpora estados dinámicos multiescala </w:t>
      </w:r>
      <w:r w:rsidR="00180F9A" w:rsidRPr="004A2F72">
        <w:rPr>
          <w:rFonts w:asciiTheme="minorHAnsi" w:hAnsiTheme="minorHAnsi" w:cs="Arial"/>
          <w:sz w:val="22"/>
          <w:szCs w:val="22"/>
        </w:rPr>
        <w:t>(</w:t>
      </w:r>
      <w:r w:rsidRPr="004A2F72">
        <w:rPr>
          <w:rFonts w:asciiTheme="minorHAnsi" w:hAnsiTheme="minorHAnsi" w:cs="Arial"/>
          <w:sz w:val="22"/>
          <w:szCs w:val="22"/>
        </w:rPr>
        <w:t>corta, media y larga</w:t>
      </w:r>
      <w:r w:rsidR="00180F9A" w:rsidRPr="004A2F72">
        <w:rPr>
          <w:rFonts w:asciiTheme="minorHAnsi" w:hAnsiTheme="minorHAnsi" w:cs="Arial"/>
          <w:sz w:val="22"/>
          <w:szCs w:val="22"/>
        </w:rPr>
        <w:t>)</w:t>
      </w:r>
      <w:r w:rsidRPr="004A2F72">
        <w:rPr>
          <w:rFonts w:asciiTheme="minorHAnsi" w:hAnsiTheme="minorHAnsi" w:cs="Arial"/>
          <w:sz w:val="22"/>
          <w:szCs w:val="22"/>
        </w:rPr>
        <w:t xml:space="preserve"> que modelan la organización temporal de la noche</w:t>
      </w:r>
      <w:r w:rsidR="00180F9A" w:rsidRPr="004A2F72">
        <w:rPr>
          <w:rFonts w:asciiTheme="minorHAnsi" w:hAnsiTheme="minorHAnsi" w:cs="Arial"/>
          <w:sz w:val="22"/>
          <w:szCs w:val="22"/>
        </w:rPr>
        <w:t xml:space="preserve"> (</w:t>
      </w:r>
      <w:r w:rsidR="00180F9A" w:rsidRPr="004A2F72">
        <w:rPr>
          <w:rFonts w:asciiTheme="minorHAnsi" w:hAnsiTheme="minorHAnsi" w:cs="Arial"/>
          <w:b/>
          <w:bCs/>
          <w:sz w:val="22"/>
          <w:szCs w:val="22"/>
        </w:rPr>
        <w:t>estados PAC</w:t>
      </w:r>
      <w:r w:rsidR="00180F9A" w:rsidRPr="004A2F72">
        <w:rPr>
          <w:rFonts w:asciiTheme="minorHAnsi" w:hAnsiTheme="minorHAnsi" w:cs="Arial"/>
          <w:sz w:val="22"/>
          <w:szCs w:val="22"/>
        </w:rPr>
        <w:t>)</w:t>
      </w:r>
      <w:r w:rsidRPr="004A2F72">
        <w:rPr>
          <w:rFonts w:asciiTheme="minorHAnsi" w:hAnsiTheme="minorHAnsi" w:cs="Arial"/>
          <w:sz w:val="22"/>
          <w:szCs w:val="22"/>
        </w:rPr>
        <w:t>. La combinación de morfotipos y estados permite describir qué ocurre, cuándo ocurre y en qué contexto fisiológico.</w:t>
      </w:r>
    </w:p>
    <w:p w14:paraId="1C4AB76B" w14:textId="77777777" w:rsidR="00B64F0B" w:rsidRPr="004A2F72" w:rsidRDefault="00B64F0B" w:rsidP="00B64F0B">
      <w:pPr>
        <w:pStyle w:val="p1"/>
        <w:jc w:val="both"/>
        <w:rPr>
          <w:rFonts w:asciiTheme="minorHAnsi" w:hAnsiTheme="minorHAnsi" w:cs="Arial"/>
          <w:sz w:val="22"/>
          <w:szCs w:val="22"/>
        </w:rPr>
      </w:pPr>
      <w:r w:rsidRPr="004A2F72">
        <w:rPr>
          <w:rFonts w:asciiTheme="minorHAnsi" w:hAnsiTheme="minorHAnsi" w:cs="Arial"/>
          <w:sz w:val="22"/>
          <w:szCs w:val="22"/>
        </w:rPr>
        <w:t>Sobre esta base, se exploran modelos predictivos para estimar la severidad de eventos y el riesgo nocturno. El marco se proyecta hacia una aplicación clínica interactiva capaz de generar morfotipos, estados PAC, índice de riesgo e informe asistido por inteligencia artificial, y explora además la predicción prospectiva de eventos severos como base potencial para estrategias preventivas.</w:t>
      </w:r>
    </w:p>
    <w:p w14:paraId="4D12F3B6" w14:textId="77777777" w:rsidR="00042CF4" w:rsidRPr="004A2F72" w:rsidRDefault="00000000">
      <w:pPr>
        <w:pStyle w:val="Ttulo2"/>
        <w:rPr>
          <w:rFonts w:asciiTheme="minorHAnsi" w:hAnsiTheme="minorHAnsi"/>
        </w:rPr>
      </w:pPr>
      <w:r w:rsidRPr="004A2F72">
        <w:rPr>
          <w:rFonts w:asciiTheme="minorHAnsi" w:hAnsiTheme="minorHAnsi"/>
        </w:rPr>
        <w:t>1.4 Aplicaciones prácticas</w:t>
      </w:r>
    </w:p>
    <w:p w14:paraId="7F8A889F" w14:textId="618C78DF" w:rsidR="00B64F0B" w:rsidRPr="004A2F72" w:rsidRDefault="00B64F0B" w:rsidP="00B64F0B">
      <w:pPr>
        <w:pStyle w:val="p1"/>
        <w:jc w:val="both"/>
        <w:rPr>
          <w:rFonts w:asciiTheme="minorHAnsi" w:hAnsiTheme="minorHAnsi" w:cs="Arial"/>
          <w:sz w:val="22"/>
          <w:szCs w:val="22"/>
        </w:rPr>
      </w:pPr>
      <w:r w:rsidRPr="004A2F72">
        <w:rPr>
          <w:rFonts w:asciiTheme="minorHAnsi" w:hAnsiTheme="minorHAnsi" w:cs="Arial"/>
          <w:sz w:val="22"/>
          <w:szCs w:val="22"/>
        </w:rPr>
        <w:t>Las aplicaciones del Proyecto de Análisis Continuo se organizan en tres planos: clínico, metodológico y científico.</w:t>
      </w:r>
    </w:p>
    <w:p w14:paraId="4EC9BEA8" w14:textId="6505EF5B" w:rsidR="00B64F0B" w:rsidRPr="004A2F72" w:rsidRDefault="00B64F0B" w:rsidP="00B64F0B">
      <w:pPr>
        <w:pStyle w:val="p1"/>
        <w:jc w:val="both"/>
        <w:rPr>
          <w:rFonts w:asciiTheme="minorHAnsi" w:hAnsiTheme="minorHAnsi" w:cs="Arial"/>
          <w:sz w:val="22"/>
          <w:szCs w:val="22"/>
        </w:rPr>
      </w:pPr>
      <w:r w:rsidRPr="004A2F72">
        <w:rPr>
          <w:rFonts w:asciiTheme="minorHAnsi" w:hAnsiTheme="minorHAnsi" w:cs="Arial"/>
          <w:sz w:val="22"/>
          <w:szCs w:val="22"/>
        </w:rPr>
        <w:t xml:space="preserve">En el plano </w:t>
      </w:r>
      <w:r w:rsidRPr="004A2F72">
        <w:rPr>
          <w:rFonts w:asciiTheme="minorHAnsi" w:hAnsiTheme="minorHAnsi" w:cs="Arial"/>
          <w:b/>
          <w:bCs/>
          <w:sz w:val="22"/>
          <w:szCs w:val="22"/>
        </w:rPr>
        <w:t>clínico</w:t>
      </w:r>
      <w:r w:rsidRPr="004A2F72">
        <w:rPr>
          <w:rFonts w:asciiTheme="minorHAnsi" w:hAnsiTheme="minorHAnsi" w:cs="Arial"/>
          <w:sz w:val="22"/>
          <w:szCs w:val="22"/>
        </w:rPr>
        <w:t>, la herramienta interactiva permite analizar registros domiciliarios de forma sistemática y reproducible, aportando información morfológica, dinámica y predictiva no incluida en los reportes convencionales. La visualización de morfotipos, estados PAC e índice de riesgo integrado facilita la comprensión del perfil fisiológico individual, podría complementar la toma de decisiones terapéuticas y favorecer el seguimiento longitudinal. A futuro, la predicción prospectiva podría servir para evaluar estrategias preventivas, como dispositivos de estimulación transcutánea orientados a prevenir o atenuar eventos hipóxicos severos.</w:t>
      </w:r>
    </w:p>
    <w:p w14:paraId="2B60D1BA" w14:textId="4C4FB399" w:rsidR="00B64F0B" w:rsidRPr="004A2F72" w:rsidRDefault="00B64F0B" w:rsidP="00B64F0B">
      <w:pPr>
        <w:pStyle w:val="p1"/>
        <w:jc w:val="both"/>
        <w:rPr>
          <w:rFonts w:asciiTheme="minorHAnsi" w:hAnsiTheme="minorHAnsi" w:cs="Arial"/>
          <w:sz w:val="22"/>
          <w:szCs w:val="22"/>
        </w:rPr>
      </w:pPr>
      <w:r w:rsidRPr="004A2F72">
        <w:rPr>
          <w:rFonts w:asciiTheme="minorHAnsi" w:hAnsiTheme="minorHAnsi" w:cs="Arial"/>
          <w:sz w:val="22"/>
          <w:szCs w:val="22"/>
        </w:rPr>
        <w:t xml:space="preserve">En el plano </w:t>
      </w:r>
      <w:r w:rsidRPr="004A2F72">
        <w:rPr>
          <w:rFonts w:asciiTheme="minorHAnsi" w:hAnsiTheme="minorHAnsi" w:cs="Arial"/>
          <w:b/>
          <w:bCs/>
          <w:sz w:val="22"/>
          <w:szCs w:val="22"/>
        </w:rPr>
        <w:t>metodológico</w:t>
      </w:r>
      <w:r w:rsidRPr="004A2F72">
        <w:rPr>
          <w:rFonts w:asciiTheme="minorHAnsi" w:hAnsiTheme="minorHAnsi" w:cs="Arial"/>
          <w:sz w:val="22"/>
          <w:szCs w:val="22"/>
        </w:rPr>
        <w:t xml:space="preserve">, PAC_v3 aborda desafíos propios de los datos biomédicos reales: series temporales largas, multivariadas, no estacionarias y longitudinales. Su metodología </w:t>
      </w:r>
      <w:r w:rsidR="00630080" w:rsidRPr="004A2F72">
        <w:rPr>
          <w:rFonts w:asciiTheme="minorHAnsi" w:hAnsiTheme="minorHAnsi" w:cs="Arial"/>
          <w:sz w:val="22"/>
          <w:szCs w:val="22"/>
        </w:rPr>
        <w:t>(</w:t>
      </w:r>
      <w:r w:rsidRPr="004A2F72">
        <w:rPr>
          <w:rFonts w:asciiTheme="minorHAnsi" w:hAnsiTheme="minorHAnsi" w:cs="Arial"/>
          <w:sz w:val="22"/>
          <w:szCs w:val="22"/>
        </w:rPr>
        <w:t xml:space="preserve">control de calidad, definición de eventos, fenotipado no supervisado, modelado </w:t>
      </w:r>
      <w:r w:rsidRPr="004A2F72">
        <w:rPr>
          <w:rFonts w:asciiTheme="minorHAnsi" w:hAnsiTheme="minorHAnsi" w:cs="Arial"/>
          <w:sz w:val="22"/>
          <w:szCs w:val="22"/>
        </w:rPr>
        <w:lastRenderedPageBreak/>
        <w:t>multiescala y validación estricta</w:t>
      </w:r>
      <w:r w:rsidR="00630080" w:rsidRPr="004A2F72">
        <w:rPr>
          <w:rFonts w:asciiTheme="minorHAnsi" w:hAnsiTheme="minorHAnsi" w:cs="Arial"/>
          <w:sz w:val="22"/>
          <w:szCs w:val="22"/>
        </w:rPr>
        <w:t>)</w:t>
      </w:r>
      <w:r w:rsidRPr="004A2F72">
        <w:rPr>
          <w:rFonts w:asciiTheme="minorHAnsi" w:hAnsiTheme="minorHAnsi" w:cs="Arial"/>
          <w:sz w:val="22"/>
          <w:szCs w:val="22"/>
        </w:rPr>
        <w:t xml:space="preserve"> es </w:t>
      </w:r>
      <w:r w:rsidR="00630080" w:rsidRPr="004A2F72">
        <w:rPr>
          <w:rFonts w:asciiTheme="minorHAnsi" w:hAnsiTheme="minorHAnsi" w:cs="Arial"/>
          <w:sz w:val="22"/>
          <w:szCs w:val="22"/>
        </w:rPr>
        <w:t xml:space="preserve">eventualmente </w:t>
      </w:r>
      <w:r w:rsidRPr="004A2F72">
        <w:rPr>
          <w:rFonts w:asciiTheme="minorHAnsi" w:hAnsiTheme="minorHAnsi" w:cs="Arial"/>
          <w:sz w:val="22"/>
          <w:szCs w:val="22"/>
        </w:rPr>
        <w:t>transferible a otros dominios de monitoreo continuo y adaptable a señales más complejas, como polisomnografía completa o electrocardiograma prolongado.</w:t>
      </w:r>
    </w:p>
    <w:p w14:paraId="3C5AA8A8" w14:textId="77777777" w:rsidR="00B64F0B" w:rsidRPr="004A2F72" w:rsidRDefault="00B64F0B" w:rsidP="00B64F0B">
      <w:pPr>
        <w:pStyle w:val="p1"/>
        <w:jc w:val="both"/>
        <w:rPr>
          <w:rFonts w:asciiTheme="minorHAnsi" w:hAnsiTheme="minorHAnsi" w:cs="Arial"/>
          <w:sz w:val="22"/>
          <w:szCs w:val="22"/>
        </w:rPr>
      </w:pPr>
      <w:r w:rsidRPr="004A2F72">
        <w:rPr>
          <w:rFonts w:asciiTheme="minorHAnsi" w:hAnsiTheme="minorHAnsi" w:cs="Arial"/>
          <w:sz w:val="22"/>
          <w:szCs w:val="22"/>
        </w:rPr>
        <w:t xml:space="preserve">En el plano </w:t>
      </w:r>
      <w:r w:rsidRPr="004A2F72">
        <w:rPr>
          <w:rFonts w:asciiTheme="minorHAnsi" w:hAnsiTheme="minorHAnsi" w:cs="Arial"/>
          <w:b/>
          <w:bCs/>
          <w:sz w:val="22"/>
          <w:szCs w:val="22"/>
        </w:rPr>
        <w:t>científico</w:t>
      </w:r>
      <w:r w:rsidRPr="004A2F72">
        <w:rPr>
          <w:rFonts w:asciiTheme="minorHAnsi" w:hAnsiTheme="minorHAnsi" w:cs="Arial"/>
          <w:sz w:val="22"/>
          <w:szCs w:val="22"/>
        </w:rPr>
        <w:t>, el marco permite generar métricas comparables, analizar variabilidad longitudinal intraindividual y formular hipótesis sobre la heterogeneidad fisiopatológica del síndrome. La contribución central de la tesis es proponer una representación multiescala de la fisiología nocturna que integra eventos, respuesta autonómica, estados dinámicos y predicción clínica interpretable, sin reemplazar los criterios diagnósticos establecidos, sino complementándolos mediante un marco analítico reproducible.</w:t>
      </w:r>
    </w:p>
    <w:p w14:paraId="1635B0FC" w14:textId="77777777" w:rsidR="00042CF4" w:rsidRPr="004A2F72" w:rsidRDefault="00000000">
      <w:pPr>
        <w:pStyle w:val="Ttulo2"/>
        <w:rPr>
          <w:rFonts w:asciiTheme="minorHAnsi" w:hAnsiTheme="minorHAnsi"/>
        </w:rPr>
      </w:pPr>
      <w:r w:rsidRPr="004A2F72">
        <w:rPr>
          <w:rFonts w:asciiTheme="minorHAnsi" w:hAnsiTheme="minorHAnsi"/>
        </w:rPr>
        <w:t>1.5 Resumen de problemas y soluciones</w:t>
      </w:r>
    </w:p>
    <w:p w14:paraId="24D3831F" w14:textId="77777777" w:rsidR="00042CF4" w:rsidRPr="004A2F72" w:rsidRDefault="00042CF4">
      <w:pPr>
        <w:spacing w:before="8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042CF4" w:rsidRPr="004A2F72" w14:paraId="3D866AC1" w14:textId="77777777">
        <w:trPr>
          <w:tblHeader/>
        </w:trPr>
        <w:tc>
          <w:tcPr>
            <w:tcW w:w="38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15A125A" w14:textId="77777777" w:rsidR="00042CF4" w:rsidRPr="004A2F72" w:rsidRDefault="00000000">
            <w:pPr>
              <w:jc w:val="center"/>
              <w:rPr>
                <w:rFonts w:asciiTheme="minorHAnsi" w:hAnsiTheme="minorHAnsi"/>
              </w:rPr>
            </w:pPr>
            <w:r w:rsidRPr="004A2F72">
              <w:rPr>
                <w:rFonts w:asciiTheme="minorHAnsi" w:hAnsiTheme="minorHAnsi"/>
                <w:b/>
                <w:bCs/>
                <w:color w:val="1E3A5F"/>
                <w:sz w:val="20"/>
                <w:szCs w:val="20"/>
              </w:rPr>
              <w:t>Problema identificado</w:t>
            </w:r>
          </w:p>
        </w:tc>
        <w:tc>
          <w:tcPr>
            <w:tcW w:w="52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577EFB95" w14:textId="77777777" w:rsidR="00042CF4" w:rsidRPr="004A2F72" w:rsidRDefault="00000000">
            <w:pPr>
              <w:jc w:val="center"/>
              <w:rPr>
                <w:rFonts w:asciiTheme="minorHAnsi" w:hAnsiTheme="minorHAnsi"/>
              </w:rPr>
            </w:pPr>
            <w:r w:rsidRPr="004A2F72">
              <w:rPr>
                <w:rFonts w:asciiTheme="minorHAnsi" w:hAnsiTheme="minorHAnsi"/>
                <w:b/>
                <w:bCs/>
                <w:color w:val="1E3A5F"/>
                <w:sz w:val="20"/>
                <w:szCs w:val="20"/>
              </w:rPr>
              <w:t>Solución propuesta</w:t>
            </w:r>
          </w:p>
        </w:tc>
      </w:tr>
      <w:tr w:rsidR="00042CF4" w:rsidRPr="004A2F72" w14:paraId="21B071C1"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8BA4FF8" w14:textId="77777777" w:rsidR="00042CF4" w:rsidRPr="004A2F72" w:rsidRDefault="00000000">
            <w:pPr>
              <w:jc w:val="both"/>
              <w:rPr>
                <w:rFonts w:asciiTheme="minorHAnsi" w:hAnsiTheme="minorHAnsi"/>
              </w:rPr>
            </w:pPr>
            <w:r w:rsidRPr="004A2F72">
              <w:rPr>
                <w:rFonts w:asciiTheme="minorHAnsi" w:hAnsiTheme="minorHAnsi"/>
                <w:sz w:val="21"/>
                <w:szCs w:val="21"/>
              </w:rPr>
              <w:t>Los índices clásicos condensan noches complejas en un único valor resumen, ocultando la dinámica temporal y la heterogeneidad morfológica de los eventos respiratorios.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E9ABF79" w14:textId="77777777" w:rsidR="00042CF4" w:rsidRPr="004A2F72" w:rsidRDefault="00000000">
            <w:pPr>
              <w:jc w:val="both"/>
              <w:rPr>
                <w:rFonts w:asciiTheme="minorHAnsi" w:hAnsiTheme="minorHAnsi"/>
              </w:rPr>
            </w:pPr>
            <w:r w:rsidRPr="004A2F72">
              <w:rPr>
                <w:rFonts w:asciiTheme="minorHAnsi" w:hAnsiTheme="minorHAnsi"/>
                <w:sz w:val="21"/>
                <w:szCs w:val="21"/>
              </w:rPr>
              <w:t>Fenotipado morfológico de eventos de desaturación mediante agrupamiento no supervisado sobre la curva completa de saturación de oxígeno: cinco morfotipos con perfiles diferenciados de profundidad, duración y carga hipóxica.</w:t>
            </w:r>
          </w:p>
        </w:tc>
      </w:tr>
      <w:tr w:rsidR="00042CF4" w:rsidRPr="004A2F72" w14:paraId="3D3DB8E3"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908C911" w14:textId="77777777" w:rsidR="00042CF4" w:rsidRPr="004A2F72" w:rsidRDefault="00000000">
            <w:pPr>
              <w:jc w:val="both"/>
              <w:rPr>
                <w:rFonts w:asciiTheme="minorHAnsi" w:hAnsiTheme="minorHAnsi"/>
              </w:rPr>
            </w:pPr>
            <w:r w:rsidRPr="004A2F72">
              <w:rPr>
                <w:rFonts w:asciiTheme="minorHAnsi" w:hAnsiTheme="minorHAnsi"/>
                <w:sz w:val="21"/>
                <w:szCs w:val="21"/>
              </w:rPr>
              <w:t>No existe una métrica que capture la respuesta autonómica al evento hipóxico individual de forma independiente de los índices de frecuencia clásicos.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163D62" w14:textId="77777777" w:rsidR="00042CF4" w:rsidRPr="004A2F72" w:rsidRDefault="00000000">
            <w:pPr>
              <w:jc w:val="both"/>
              <w:rPr>
                <w:rFonts w:asciiTheme="minorHAnsi" w:hAnsiTheme="minorHAnsi"/>
              </w:rPr>
            </w:pPr>
            <w:r w:rsidRPr="004A2F72">
              <w:rPr>
                <w:rFonts w:asciiTheme="minorHAnsi" w:hAnsiTheme="minorHAnsi"/>
                <w:sz w:val="21"/>
                <w:szCs w:val="21"/>
              </w:rPr>
              <w:t>Definición del Índice de Respuesta Autonómica, evaluado como dimensión complementaria y parcialmente independiente de los índices clásicos de severidad, que busca cuantificar la respuesta cardíaca relativa a la caída de saturación de oxígeno.</w:t>
            </w:r>
          </w:p>
        </w:tc>
      </w:tr>
      <w:tr w:rsidR="00042CF4" w:rsidRPr="004A2F72" w14:paraId="368FF13F"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EA9F9B" w14:textId="77777777" w:rsidR="00042CF4" w:rsidRPr="004A2F72" w:rsidRDefault="00000000">
            <w:pPr>
              <w:jc w:val="both"/>
              <w:rPr>
                <w:rFonts w:asciiTheme="minorHAnsi" w:hAnsiTheme="minorHAnsi"/>
              </w:rPr>
            </w:pPr>
            <w:r w:rsidRPr="004A2F72">
              <w:rPr>
                <w:rFonts w:asciiTheme="minorHAnsi" w:hAnsiTheme="minorHAnsi"/>
                <w:sz w:val="21"/>
                <w:szCs w:val="21"/>
              </w:rPr>
              <w:t>Los análisis basados en índices agregados no capturan la organización dinámica de la noche como secuencia temporal de estados fisiológicos diferenciados.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F9A731" w14:textId="77777777" w:rsidR="00042CF4" w:rsidRPr="004A2F72" w:rsidRDefault="00000000">
            <w:pPr>
              <w:jc w:val="both"/>
              <w:rPr>
                <w:rFonts w:asciiTheme="minorHAnsi" w:hAnsiTheme="minorHAnsi"/>
              </w:rPr>
            </w:pPr>
            <w:r w:rsidRPr="004A2F72">
              <w:rPr>
                <w:rFonts w:asciiTheme="minorHAnsi" w:hAnsiTheme="minorHAnsi"/>
                <w:sz w:val="21"/>
                <w:szCs w:val="21"/>
              </w:rPr>
              <w:t>Sistema de estados PAC a tres escalas temporales simultáneas: representación del sueño como trayectoria fisiológica multiescala con estados interpretables que capturan la estructura nocturna en distintas resoluciones.</w:t>
            </w:r>
          </w:p>
        </w:tc>
      </w:tr>
      <w:tr w:rsidR="00042CF4" w:rsidRPr="004A2F72" w14:paraId="6182D290"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B26CDAF" w14:textId="77777777" w:rsidR="00042CF4" w:rsidRPr="004A2F72" w:rsidRDefault="00000000">
            <w:pPr>
              <w:jc w:val="both"/>
              <w:rPr>
                <w:rFonts w:asciiTheme="minorHAnsi" w:hAnsiTheme="minorHAnsi"/>
              </w:rPr>
            </w:pPr>
            <w:r w:rsidRPr="004A2F72">
              <w:rPr>
                <w:rFonts w:asciiTheme="minorHAnsi" w:hAnsiTheme="minorHAnsi"/>
                <w:sz w:val="21"/>
                <w:szCs w:val="21"/>
              </w:rPr>
              <w:t>El impacto de un evento depende del contexto fisiológico en que ocurre, pero los índices clásicos no distinguen entre eventos equivalentes producidos en contextos fisiológicos distintos.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AD9D93" w14:textId="77777777" w:rsidR="00042CF4" w:rsidRPr="004A2F72" w:rsidRDefault="00000000">
            <w:pPr>
              <w:jc w:val="both"/>
              <w:rPr>
                <w:rFonts w:asciiTheme="minorHAnsi" w:hAnsiTheme="minorHAnsi"/>
              </w:rPr>
            </w:pPr>
            <w:r w:rsidRPr="004A2F72">
              <w:rPr>
                <w:rFonts w:asciiTheme="minorHAnsi" w:hAnsiTheme="minorHAnsi"/>
                <w:sz w:val="21"/>
                <w:szCs w:val="21"/>
              </w:rPr>
              <w:t>Análisis de acoplamiento entre eventos de desaturación y estados PAC: evaluación de cómo el riesgo de eventos severos varía según el estado fisiológico en que ocurren, distinguiendo estados protectores y estados patológicos, y analizando cómo un mismo morfotipo de evento puede expresar consecuencias fisiológicas distintas según el contexto dinámico asociado.</w:t>
            </w:r>
          </w:p>
        </w:tc>
      </w:tr>
      <w:tr w:rsidR="00042CF4" w:rsidRPr="004A2F72" w14:paraId="6BA33ECF"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2D4C70F" w14:textId="77777777" w:rsidR="00042CF4" w:rsidRPr="004A2F72" w:rsidRDefault="00000000">
            <w:pPr>
              <w:jc w:val="both"/>
              <w:rPr>
                <w:rFonts w:asciiTheme="minorHAnsi" w:hAnsiTheme="minorHAnsi"/>
              </w:rPr>
            </w:pPr>
            <w:r w:rsidRPr="004A2F72">
              <w:rPr>
                <w:rFonts w:asciiTheme="minorHAnsi" w:hAnsiTheme="minorHAnsi"/>
                <w:sz w:val="21"/>
                <w:szCs w:val="21"/>
              </w:rPr>
              <w:t>Los registros domiciliarios generan grandes volúmenes de datos que no se traducen automáticamente en información clínicamente útil para el médico.</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E5881A" w14:textId="77777777" w:rsidR="00042CF4" w:rsidRPr="004A2F72" w:rsidRDefault="00000000">
            <w:pPr>
              <w:jc w:val="both"/>
              <w:rPr>
                <w:rFonts w:asciiTheme="minorHAnsi" w:hAnsiTheme="minorHAnsi"/>
              </w:rPr>
            </w:pPr>
            <w:r w:rsidRPr="004A2F72">
              <w:rPr>
                <w:rFonts w:asciiTheme="minorHAnsi" w:hAnsiTheme="minorHAnsi"/>
                <w:sz w:val="21"/>
                <w:szCs w:val="21"/>
              </w:rPr>
              <w:t>Aplicación clínica interactiva con pipeline de inferencia completo: morfotipos de eventos, estados PAC, índice de riesgo integrado e informe con asistencia de inteligencia artificial, disponibles en un flujo automatizado de análisis a partir del archivo de registro domiciliario.</w:t>
            </w:r>
          </w:p>
        </w:tc>
      </w:tr>
      <w:tr w:rsidR="00042CF4" w:rsidRPr="004A2F72" w14:paraId="3FD367C5"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0AD8495" w14:textId="77777777" w:rsidR="00042CF4" w:rsidRPr="004A2F72" w:rsidRDefault="00000000">
            <w:pPr>
              <w:jc w:val="both"/>
              <w:rPr>
                <w:rFonts w:asciiTheme="minorHAnsi" w:hAnsiTheme="minorHAnsi"/>
              </w:rPr>
            </w:pPr>
            <w:r w:rsidRPr="004A2F72">
              <w:rPr>
                <w:rFonts w:asciiTheme="minorHAnsi" w:hAnsiTheme="minorHAnsi"/>
                <w:sz w:val="21"/>
                <w:szCs w:val="21"/>
              </w:rPr>
              <w:t>No existe capacidad de anticipar eventos severos con margen temporal suficiente para la activación de una intervención terapéutica preventiva.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C42BDC" w14:textId="77777777" w:rsidR="00042CF4" w:rsidRPr="004A2F72" w:rsidRDefault="00000000">
            <w:pPr>
              <w:jc w:val="both"/>
              <w:rPr>
                <w:rFonts w:asciiTheme="minorHAnsi" w:hAnsiTheme="minorHAnsi"/>
              </w:rPr>
            </w:pPr>
            <w:r w:rsidRPr="004A2F72">
              <w:rPr>
                <w:rFonts w:asciiTheme="minorHAnsi" w:hAnsiTheme="minorHAnsi"/>
                <w:sz w:val="21"/>
                <w:szCs w:val="21"/>
              </w:rPr>
              <w:t xml:space="preserve">Sistema de predicción prospectiva con margen temporal: estimación de la probabilidad de ocurrencia de un evento severo en los próximos minutos, evaluada mediante esquemas de validación a nivel de paciente, </w:t>
            </w:r>
            <w:r w:rsidRPr="004A2F72">
              <w:rPr>
                <w:rFonts w:asciiTheme="minorHAnsi" w:hAnsiTheme="minorHAnsi"/>
                <w:sz w:val="21"/>
                <w:szCs w:val="21"/>
              </w:rPr>
              <w:lastRenderedPageBreak/>
              <w:t>como base para la estimulación transcutánea preventiva.</w:t>
            </w:r>
          </w:p>
        </w:tc>
      </w:tr>
    </w:tbl>
    <w:p w14:paraId="2C40CA08" w14:textId="77777777" w:rsidR="00042CF4" w:rsidRPr="004A2F72" w:rsidRDefault="00042CF4">
      <w:pPr>
        <w:spacing w:before="80"/>
        <w:rPr>
          <w:rFonts w:asciiTheme="minorHAnsi" w:hAnsiTheme="minorHAnsi"/>
        </w:rPr>
      </w:pPr>
    </w:p>
    <w:p w14:paraId="4C936A19" w14:textId="77777777" w:rsidR="00042CF4" w:rsidRPr="004A2F72" w:rsidRDefault="00000000">
      <w:pPr>
        <w:pStyle w:val="Ttulo2"/>
        <w:rPr>
          <w:rFonts w:asciiTheme="minorHAnsi" w:hAnsiTheme="minorHAnsi"/>
        </w:rPr>
      </w:pPr>
      <w:r w:rsidRPr="004A2F72">
        <w:rPr>
          <w:rFonts w:asciiTheme="minorHAnsi" w:hAnsiTheme="minorHAnsi"/>
        </w:rPr>
        <w:t>1.6 Objetivo del trabajo</w:t>
      </w:r>
    </w:p>
    <w:p w14:paraId="4E5A2F14"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74CCDE9D"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Este objetivo general se descompone en los siguientes objetivos específicos:</w:t>
      </w:r>
    </w:p>
    <w:p w14:paraId="728530C2" w14:textId="77777777" w:rsidR="00042CF4" w:rsidRPr="004A2F72" w:rsidRDefault="00000000">
      <w:pPr>
        <w:pStyle w:val="Prrafodelista"/>
        <w:numPr>
          <w:ilvl w:val="0"/>
          <w:numId w:val="2"/>
        </w:numPr>
        <w:jc w:val="both"/>
        <w:rPr>
          <w:rFonts w:asciiTheme="minorHAnsi" w:hAnsiTheme="minorHAnsi"/>
        </w:rPr>
      </w:pPr>
      <w:r w:rsidRPr="004A2F72">
        <w:rPr>
          <w:rFonts w:asciiTheme="minorHAnsi" w:hAnsiTheme="minorHAnsi"/>
        </w:rPr>
        <w:t>Diseñar e implementar un pipeline de procesamiento reproducible que transforme registros crudos de oximetría domiciliaria en representaciones estructuradas y trazables, cubriendo desde el control de calidad de señal hasta la generación de tablas consolidadas listas para el análisis.</w:t>
      </w:r>
    </w:p>
    <w:p w14:paraId="7AAC68C0" w14:textId="77777777" w:rsidR="00042CF4" w:rsidRPr="004A2F72" w:rsidRDefault="00000000">
      <w:pPr>
        <w:pStyle w:val="Prrafodelista"/>
        <w:numPr>
          <w:ilvl w:val="0"/>
          <w:numId w:val="2"/>
        </w:numPr>
        <w:jc w:val="both"/>
        <w:rPr>
          <w:rFonts w:asciiTheme="minorHAnsi" w:hAnsiTheme="minorHAnsi"/>
        </w:rPr>
      </w:pPr>
      <w:r w:rsidRPr="004A2F72">
        <w:rPr>
          <w:rFonts w:asciiTheme="minorHAnsi" w:hAnsiTheme="minorHAnsi"/>
        </w:rPr>
        <w:t>Caracterizar morfológicamente los eventos de desaturación de oxígeno mediante agrupamiento no supervisado sobre curvas de saturación, e introducir el Índice de Respuesta Autonómica como dimensión complementaria y parcialmente independiente de los índices clásicos de severidad.</w:t>
      </w:r>
    </w:p>
    <w:p w14:paraId="433B8BB4" w14:textId="77777777" w:rsidR="00042CF4" w:rsidRPr="004A2F72" w:rsidRDefault="00000000">
      <w:pPr>
        <w:pStyle w:val="Prrafodelista"/>
        <w:numPr>
          <w:ilvl w:val="0"/>
          <w:numId w:val="2"/>
        </w:numPr>
        <w:jc w:val="both"/>
        <w:rPr>
          <w:rFonts w:asciiTheme="minorHAnsi" w:hAnsiTheme="minorHAnsi"/>
        </w:rPr>
      </w:pPr>
      <w:r w:rsidRPr="004A2F72">
        <w:rPr>
          <w:rFonts w:asciiTheme="minorHAnsi" w:hAnsiTheme="minorHAnsi"/>
        </w:rPr>
        <w:t>Desarrollar y validar el sistema de estados PAC multiescala: representación del sueño como secuencia de estados dinámicos a tres escalas temporales, que captura la organización global de la noche más allá de los índices agregados.</w:t>
      </w:r>
    </w:p>
    <w:p w14:paraId="5E6B5F44" w14:textId="77777777" w:rsidR="00042CF4" w:rsidRPr="004A2F72" w:rsidRDefault="00000000">
      <w:pPr>
        <w:pStyle w:val="Prrafodelista"/>
        <w:numPr>
          <w:ilvl w:val="0"/>
          <w:numId w:val="2"/>
        </w:numPr>
        <w:jc w:val="both"/>
        <w:rPr>
          <w:rFonts w:asciiTheme="minorHAnsi" w:hAnsiTheme="minorHAnsi"/>
        </w:rPr>
      </w:pPr>
      <w:r w:rsidRPr="004A2F72">
        <w:rPr>
          <w:rFonts w:asciiTheme="minorHAnsi" w:hAnsiTheme="minorHAnsi"/>
        </w:rPr>
        <w:t>Cuantificar el acoplamiento entre los estados dinámicos nocturnos y la severidad de los eventos individuales, y construir modelos predictivos validados mediante validación cruzada estricta a nivel de paciente.</w:t>
      </w:r>
    </w:p>
    <w:p w14:paraId="58329C9A" w14:textId="77777777" w:rsidR="00042CF4" w:rsidRPr="004A2F72" w:rsidRDefault="00000000">
      <w:pPr>
        <w:pStyle w:val="Prrafodelista"/>
        <w:numPr>
          <w:ilvl w:val="0"/>
          <w:numId w:val="2"/>
        </w:numPr>
        <w:jc w:val="both"/>
        <w:rPr>
          <w:rFonts w:asciiTheme="minorHAnsi" w:hAnsiTheme="minorHAnsi"/>
        </w:rPr>
      </w:pPr>
      <w:r w:rsidRPr="004A2F72">
        <w:rPr>
          <w:rFonts w:asciiTheme="minorHAnsi" w:hAnsiTheme="minorHAnsi"/>
        </w:rPr>
        <w:t>Desarrollar una aplicación clínica interactiva que ejecute el pipeline de inferencia sobre registros domiciliarios nuevos y ponga las representaciones analíticas al alcance del médico en su práctica cotidiana.</w:t>
      </w:r>
    </w:p>
    <w:p w14:paraId="28AEA52D" w14:textId="77777777" w:rsidR="00042CF4" w:rsidRPr="004A2F72" w:rsidRDefault="00000000">
      <w:pPr>
        <w:pStyle w:val="Prrafodelista"/>
        <w:numPr>
          <w:ilvl w:val="0"/>
          <w:numId w:val="2"/>
        </w:numPr>
        <w:jc w:val="both"/>
        <w:rPr>
          <w:rFonts w:asciiTheme="minorHAnsi" w:hAnsiTheme="minorHAnsi"/>
        </w:rPr>
      </w:pPr>
      <w:r w:rsidRPr="004A2F72">
        <w:rPr>
          <w:rFonts w:asciiTheme="minorHAnsi" w:hAnsiTheme="minorHAnsi"/>
        </w:rPr>
        <w:t>Implementar y evaluar un sistema de predicción prospectiva con margen temporal, orientado a estimar la ocurrencia de eventos severos con antelación suficiente como base potencial para futuras estrategias de intervención preventiva.</w:t>
      </w:r>
    </w:p>
    <w:p w14:paraId="4F037209" w14:textId="77777777" w:rsidR="00042CF4" w:rsidRPr="004A2F72" w:rsidRDefault="00000000">
      <w:pPr>
        <w:pStyle w:val="Ttulo2"/>
        <w:rPr>
          <w:rFonts w:asciiTheme="minorHAnsi" w:hAnsiTheme="minorHAnsi"/>
        </w:rPr>
      </w:pPr>
      <w:r w:rsidRPr="004A2F72">
        <w:rPr>
          <w:rFonts w:asciiTheme="minorHAnsi" w:hAnsiTheme="minorHAnsi"/>
        </w:rPr>
        <w:t>1.7 Transferencia de los resultados obtenidos</w:t>
      </w:r>
    </w:p>
    <w:p w14:paraId="05394713" w14:textId="4E706789" w:rsidR="00B64F0B" w:rsidRPr="004A2F72" w:rsidRDefault="00B64F0B" w:rsidP="00B64F0B">
      <w:pPr>
        <w:pStyle w:val="p1"/>
        <w:jc w:val="both"/>
        <w:rPr>
          <w:rFonts w:asciiTheme="minorHAnsi" w:hAnsiTheme="minorHAnsi" w:cs="Arial"/>
          <w:sz w:val="22"/>
          <w:szCs w:val="22"/>
        </w:rPr>
      </w:pPr>
      <w:r w:rsidRPr="004A2F72">
        <w:rPr>
          <w:rFonts w:asciiTheme="minorHAnsi" w:hAnsiTheme="minorHAnsi" w:cs="Arial"/>
          <w:sz w:val="22"/>
          <w:szCs w:val="22"/>
        </w:rPr>
        <w:t>Los resultados de este trabajo se transfieren en tres direcciones principales. En la práctica médica privada que motivó el proyecto, el pipeline y un prototipo de aplicación interactiva ya se encuentran implementados, permitiendo analizar registros domiciliarios mediante un flujo automatizado que genera morfotipos de eventos, estados PAC, índice de riesgo e informe en tiempos compatibles con un uso exploratorio clínico. Esta capacidad podría favorecer una transición desde reportes estáticos hacia una exploración dinámica de la fisiología nocturna del paciente.</w:t>
      </w:r>
    </w:p>
    <w:p w14:paraId="1C150898" w14:textId="4940E2A3" w:rsidR="00B64F0B" w:rsidRPr="004A2F72" w:rsidRDefault="00B64F0B" w:rsidP="00B64F0B">
      <w:pPr>
        <w:pStyle w:val="p1"/>
        <w:jc w:val="both"/>
        <w:rPr>
          <w:rFonts w:asciiTheme="minorHAnsi" w:hAnsiTheme="minorHAnsi" w:cs="Arial"/>
          <w:sz w:val="22"/>
          <w:szCs w:val="22"/>
        </w:rPr>
      </w:pPr>
      <w:r w:rsidRPr="004A2F72">
        <w:rPr>
          <w:rFonts w:asciiTheme="minorHAnsi" w:hAnsiTheme="minorHAnsi" w:cs="Arial"/>
          <w:sz w:val="22"/>
          <w:szCs w:val="22"/>
        </w:rPr>
        <w:t xml:space="preserve">En el plano científico, los resultados se organizan en un marco de cuatro publicaciones: una sobre fenotipado morfológico e Índice de Respuesta Autonómica, actualmente en </w:t>
      </w:r>
      <w:r w:rsidRPr="004A2F72">
        <w:rPr>
          <w:rFonts w:asciiTheme="minorHAnsi" w:hAnsiTheme="minorHAnsi" w:cs="Arial"/>
          <w:sz w:val="22"/>
          <w:szCs w:val="22"/>
        </w:rPr>
        <w:lastRenderedPageBreak/>
        <w:t>preparación, y tres proyectadas post-tesis sobre estados PAC, acoplamiento y predicción, y predicción con margen temporal terapéutico.</w:t>
      </w:r>
    </w:p>
    <w:p w14:paraId="6DF75FC5" w14:textId="77777777" w:rsidR="00B64F0B" w:rsidRPr="004A2F72" w:rsidRDefault="00B64F0B" w:rsidP="00B64F0B">
      <w:pPr>
        <w:pStyle w:val="p1"/>
        <w:jc w:val="both"/>
        <w:rPr>
          <w:rFonts w:asciiTheme="minorHAnsi" w:hAnsiTheme="minorHAnsi" w:cs="Arial"/>
          <w:sz w:val="22"/>
          <w:szCs w:val="22"/>
        </w:rPr>
      </w:pPr>
      <w:r w:rsidRPr="004A2F72">
        <w:rPr>
          <w:rFonts w:asciiTheme="minorHAnsi" w:hAnsiTheme="minorHAnsi" w:cs="Arial"/>
          <w:sz w:val="22"/>
          <w:szCs w:val="22"/>
        </w:rPr>
        <w:t xml:space="preserve">Desde el punto de vista metodológico, </w:t>
      </w:r>
      <w:r w:rsidRPr="004A2F72">
        <w:rPr>
          <w:rFonts w:asciiTheme="minorHAnsi" w:hAnsiTheme="minorHAnsi" w:cs="Arial"/>
          <w:b/>
          <w:bCs/>
          <w:sz w:val="22"/>
          <w:szCs w:val="22"/>
        </w:rPr>
        <w:t>PAC_v3</w:t>
      </w:r>
      <w:r w:rsidRPr="004A2F72">
        <w:rPr>
          <w:rFonts w:asciiTheme="minorHAnsi" w:hAnsiTheme="minorHAnsi" w:cs="Arial"/>
          <w:sz w:val="22"/>
          <w:szCs w:val="22"/>
        </w:rPr>
        <w:t xml:space="preserve"> constituye un repositorio documentado, modular y trazable, con pruebas automatizadas, diseñado para extenderse a cohortes mayores, integrar señales adicionales y adaptarse a otros trastornos de monitoreo continuo en salud, favoreciendo la reproducibilidad de los resultados.</w:t>
      </w:r>
    </w:p>
    <w:p w14:paraId="4C45A9DD" w14:textId="77777777" w:rsidR="00042CF4" w:rsidRPr="004A2F72" w:rsidRDefault="00000000">
      <w:pPr>
        <w:pStyle w:val="Ttulo2"/>
        <w:rPr>
          <w:rFonts w:asciiTheme="minorHAnsi" w:hAnsiTheme="minorHAnsi"/>
        </w:rPr>
      </w:pPr>
      <w:r w:rsidRPr="004A2F72">
        <w:rPr>
          <w:rFonts w:asciiTheme="minorHAnsi" w:hAnsiTheme="minorHAnsi"/>
        </w:rPr>
        <w:t>1.8 Técnicas de ciencia de datos y aprendizaje automático aplicadas</w:t>
      </w:r>
    </w:p>
    <w:p w14:paraId="2792745B"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Una de las contribuciones transversales de este trabajo es la aplicación integrada de métodos aprendidos a lo largo de la Maestría en Explotación de Datos y Gestión del Conocimiento sobre un problema biomédico real y complejo. La siguiente tabla enumera las principales técnicas estadísticas y de aprendizaje automático implementadas, indicando su rol en el proyecto y los capítulos donde se desarrollan en detalle.</w:t>
      </w:r>
    </w:p>
    <w:p w14:paraId="38867E35" w14:textId="77777777" w:rsidR="00042CF4" w:rsidRPr="004A2F72" w:rsidRDefault="00042CF4">
      <w:pPr>
        <w:spacing w:before="8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3244"/>
        <w:gridCol w:w="1791"/>
        <w:gridCol w:w="1550"/>
      </w:tblGrid>
      <w:tr w:rsidR="00042CF4" w:rsidRPr="004A2F72" w14:paraId="6188D040"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AA4851B" w14:textId="77777777" w:rsidR="00042CF4" w:rsidRPr="004A2F72" w:rsidRDefault="00000000">
            <w:pPr>
              <w:jc w:val="center"/>
              <w:rPr>
                <w:rFonts w:asciiTheme="minorHAnsi" w:hAnsiTheme="minorHAnsi"/>
              </w:rPr>
            </w:pPr>
            <w:r w:rsidRPr="004A2F72">
              <w:rPr>
                <w:rFonts w:asciiTheme="minorHAnsi" w:hAnsiTheme="minorHAnsi"/>
                <w:b/>
                <w:bCs/>
                <w:color w:val="1E3A5F"/>
                <w:sz w:val="20"/>
                <w:szCs w:val="20"/>
              </w:rPr>
              <w:t>Técnica / Método</w:t>
            </w:r>
          </w:p>
        </w:tc>
        <w:tc>
          <w:tcPr>
            <w:tcW w:w="35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4932C15" w14:textId="77777777" w:rsidR="00042CF4" w:rsidRPr="004A2F72" w:rsidRDefault="00000000">
            <w:pPr>
              <w:jc w:val="center"/>
              <w:rPr>
                <w:rFonts w:asciiTheme="minorHAnsi" w:hAnsiTheme="minorHAnsi"/>
              </w:rPr>
            </w:pPr>
            <w:r w:rsidRPr="004A2F72">
              <w:rPr>
                <w:rFonts w:asciiTheme="minorHAnsi" w:hAnsiTheme="minorHAnsi"/>
                <w:b/>
                <w:bCs/>
                <w:color w:val="1E3A5F"/>
                <w:sz w:val="20"/>
                <w:szCs w:val="20"/>
              </w:rPr>
              <w:t>Rol en el proyecto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0D0F0237" w14:textId="77777777" w:rsidR="00042CF4" w:rsidRPr="004A2F72" w:rsidRDefault="00000000">
            <w:pPr>
              <w:jc w:val="center"/>
              <w:rPr>
                <w:rFonts w:asciiTheme="minorHAnsi" w:hAnsiTheme="minorHAnsi"/>
              </w:rPr>
            </w:pPr>
            <w:r w:rsidRPr="004A2F72">
              <w:rPr>
                <w:rFonts w:asciiTheme="minorHAnsi" w:hAnsiTheme="minorHAnsi"/>
                <w:b/>
                <w:bCs/>
                <w:color w:val="1E3A5F"/>
                <w:sz w:val="20"/>
                <w:szCs w:val="20"/>
              </w:rPr>
              <w:t>Categoría</w:t>
            </w:r>
          </w:p>
        </w:tc>
        <w:tc>
          <w:tcPr>
            <w:tcW w:w="16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3D4B0A1" w14:textId="77777777" w:rsidR="00042CF4" w:rsidRPr="004A2F72" w:rsidRDefault="00000000">
            <w:pPr>
              <w:jc w:val="center"/>
              <w:rPr>
                <w:rFonts w:asciiTheme="minorHAnsi" w:hAnsiTheme="minorHAnsi"/>
              </w:rPr>
            </w:pPr>
            <w:r w:rsidRPr="004A2F72">
              <w:rPr>
                <w:rFonts w:asciiTheme="minorHAnsi" w:hAnsiTheme="minorHAnsi"/>
                <w:b/>
                <w:bCs/>
                <w:color w:val="1E3A5F"/>
                <w:sz w:val="20"/>
                <w:szCs w:val="20"/>
              </w:rPr>
              <w:t>Capítulos</w:t>
            </w:r>
          </w:p>
        </w:tc>
      </w:tr>
      <w:tr w:rsidR="00042CF4" w:rsidRPr="004A2F72" w14:paraId="6347A15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8AA1731" w14:textId="77777777" w:rsidR="00042CF4" w:rsidRPr="004A2F72" w:rsidRDefault="00000000">
            <w:pPr>
              <w:jc w:val="both"/>
              <w:rPr>
                <w:rFonts w:asciiTheme="minorHAnsi" w:hAnsiTheme="minorHAnsi"/>
              </w:rPr>
            </w:pPr>
            <w:r w:rsidRPr="004A2F72">
              <w:rPr>
                <w:rFonts w:asciiTheme="minorHAnsi" w:hAnsiTheme="minorHAnsi"/>
                <w:b/>
                <w:bCs/>
                <w:sz w:val="21"/>
                <w:szCs w:val="21"/>
              </w:rPr>
              <w:t>Correlación intraclase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489AE1" w14:textId="77777777" w:rsidR="00042CF4" w:rsidRPr="004A2F72" w:rsidRDefault="00000000">
            <w:pPr>
              <w:jc w:val="both"/>
              <w:rPr>
                <w:rFonts w:asciiTheme="minorHAnsi" w:hAnsiTheme="minorHAnsi"/>
              </w:rPr>
            </w:pPr>
            <w:r w:rsidRPr="004A2F72">
              <w:rPr>
                <w:rFonts w:asciiTheme="minorHAnsi" w:hAnsiTheme="minorHAnsi"/>
                <w:sz w:val="21"/>
                <w:szCs w:val="21"/>
              </w:rPr>
              <w:t>Evaluación de la reproducibilidad noche a noche de las métricas fisiológicas por paciente. Criterio cuantitativo para la definición de la cohorte de análisis estricta.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C6A68AD"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93EA4DE"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Caps. 3 y 4</w:t>
            </w:r>
          </w:p>
        </w:tc>
      </w:tr>
      <w:tr w:rsidR="00042CF4" w:rsidRPr="004A2F72" w14:paraId="384C2527"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E04F4B2" w14:textId="77777777" w:rsidR="00042CF4" w:rsidRPr="004A2F72" w:rsidRDefault="00000000">
            <w:pPr>
              <w:jc w:val="both"/>
              <w:rPr>
                <w:rFonts w:asciiTheme="minorHAnsi" w:hAnsiTheme="minorHAnsi"/>
              </w:rPr>
            </w:pPr>
            <w:r w:rsidRPr="004A2F72">
              <w:rPr>
                <w:rFonts w:asciiTheme="minorHAnsi" w:hAnsiTheme="minorHAnsi"/>
                <w:b/>
                <w:bCs/>
                <w:sz w:val="21"/>
                <w:szCs w:val="21"/>
              </w:rPr>
              <w:t>Correlación de Spearman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2C410F" w14:textId="77777777" w:rsidR="00042CF4" w:rsidRPr="004A2F72" w:rsidRDefault="00000000">
            <w:pPr>
              <w:jc w:val="both"/>
              <w:rPr>
                <w:rFonts w:asciiTheme="minorHAnsi" w:hAnsiTheme="minorHAnsi"/>
              </w:rPr>
            </w:pPr>
            <w:r w:rsidRPr="004A2F72">
              <w:rPr>
                <w:rFonts w:asciiTheme="minorHAnsi" w:hAnsiTheme="minorHAnsi"/>
                <w:sz w:val="21"/>
                <w:szCs w:val="21"/>
              </w:rPr>
              <w:t>Análisis de asociación entre variables fisiológicas y clínicas. Evaluación de la independencia parcial del Índice de Respuesta Autonómica respecto de los índices clásicos de severidad.</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FC8A19B"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ECAA3F"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Caps. 4 y 5</w:t>
            </w:r>
          </w:p>
        </w:tc>
      </w:tr>
      <w:tr w:rsidR="00042CF4" w:rsidRPr="004A2F72" w14:paraId="67C188B3"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C3A2315" w14:textId="77777777" w:rsidR="00042CF4" w:rsidRPr="004A2F72" w:rsidRDefault="00000000">
            <w:pPr>
              <w:jc w:val="both"/>
              <w:rPr>
                <w:rFonts w:asciiTheme="minorHAnsi" w:hAnsiTheme="minorHAnsi"/>
              </w:rPr>
            </w:pPr>
            <w:r w:rsidRPr="004A2F72">
              <w:rPr>
                <w:rFonts w:asciiTheme="minorHAnsi" w:hAnsiTheme="minorHAnsi"/>
                <w:b/>
                <w:bCs/>
                <w:sz w:val="21"/>
                <w:szCs w:val="21"/>
              </w:rPr>
              <w:t>Chi-cuadrado y V de Cramér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60B545" w14:textId="77777777" w:rsidR="00042CF4" w:rsidRPr="004A2F72" w:rsidRDefault="00000000">
            <w:pPr>
              <w:jc w:val="both"/>
              <w:rPr>
                <w:rFonts w:asciiTheme="minorHAnsi" w:hAnsiTheme="minorHAnsi"/>
              </w:rPr>
            </w:pPr>
            <w:r w:rsidRPr="004A2F72">
              <w:rPr>
                <w:rFonts w:asciiTheme="minorHAnsi" w:hAnsiTheme="minorHAnsi"/>
                <w:sz w:val="21"/>
                <w:szCs w:val="21"/>
              </w:rPr>
              <w:t>Cuantificación de la fuerza de asociación entre estados PAC y morfotipos de eventos en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216ED56"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49BCAD9"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 5</w:t>
            </w:r>
          </w:p>
        </w:tc>
      </w:tr>
      <w:tr w:rsidR="00042CF4" w:rsidRPr="004A2F72" w14:paraId="13BC6921"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6A618C4" w14:textId="77777777" w:rsidR="00042CF4" w:rsidRPr="004A2F72" w:rsidRDefault="00000000">
            <w:pPr>
              <w:jc w:val="both"/>
              <w:rPr>
                <w:rFonts w:asciiTheme="minorHAnsi" w:hAnsiTheme="minorHAnsi"/>
              </w:rPr>
            </w:pPr>
            <w:r w:rsidRPr="004A2F72">
              <w:rPr>
                <w:rFonts w:asciiTheme="minorHAnsi" w:hAnsiTheme="minorHAnsi"/>
                <w:b/>
                <w:bCs/>
                <w:sz w:val="21"/>
                <w:szCs w:val="21"/>
              </w:rPr>
              <w:t>Análisis de calibración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D10D399" w14:textId="77777777" w:rsidR="00042CF4" w:rsidRPr="004A2F72" w:rsidRDefault="00000000">
            <w:pPr>
              <w:jc w:val="both"/>
              <w:rPr>
                <w:rFonts w:asciiTheme="minorHAnsi" w:hAnsiTheme="minorHAnsi"/>
              </w:rPr>
            </w:pPr>
            <w:r w:rsidRPr="004A2F72">
              <w:rPr>
                <w:rFonts w:asciiTheme="minorHAnsi" w:hAnsiTheme="minorHAnsi"/>
                <w:sz w:val="21"/>
                <w:szCs w:val="21"/>
              </w:rPr>
              <w:t>Verificación de la correspondencia entre las probabilidades predichas por los modelos y la frecuencia real de eventos adversos. Ajuste del índice de riesgo compuesto.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992577D"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335E7A"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 6</w:t>
            </w:r>
          </w:p>
        </w:tc>
      </w:tr>
      <w:tr w:rsidR="00042CF4" w:rsidRPr="004A2F72" w14:paraId="52EACC2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E19E5BD" w14:textId="77777777" w:rsidR="00042CF4" w:rsidRPr="004A2F72" w:rsidRDefault="00000000">
            <w:pPr>
              <w:jc w:val="both"/>
              <w:rPr>
                <w:rFonts w:asciiTheme="minorHAnsi" w:hAnsiTheme="minorHAnsi"/>
              </w:rPr>
            </w:pPr>
            <w:r w:rsidRPr="004A2F72">
              <w:rPr>
                <w:rFonts w:asciiTheme="minorHAnsi" w:hAnsiTheme="minorHAnsi"/>
                <w:b/>
                <w:bCs/>
                <w:sz w:val="21"/>
                <w:szCs w:val="21"/>
              </w:rPr>
              <w:t>Bootstrap e intervalos de confianza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28F59D5" w14:textId="77777777" w:rsidR="00042CF4" w:rsidRPr="004A2F72" w:rsidRDefault="00000000">
            <w:pPr>
              <w:jc w:val="both"/>
              <w:rPr>
                <w:rFonts w:asciiTheme="minorHAnsi" w:hAnsiTheme="minorHAnsi"/>
              </w:rPr>
            </w:pPr>
            <w:r w:rsidRPr="004A2F72">
              <w:rPr>
                <w:rFonts w:asciiTheme="minorHAnsi" w:hAnsiTheme="minorHAnsi"/>
                <w:sz w:val="21"/>
                <w:szCs w:val="21"/>
              </w:rPr>
              <w:t>Estimación de la incertidumbre en métricas de riesgo relativo y evaluación de la estabilidad de los modelos en muestras de tamaño reducido.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075EF82"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7231BC"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Caps. 5 y 6</w:t>
            </w:r>
          </w:p>
        </w:tc>
      </w:tr>
      <w:tr w:rsidR="00042CF4" w:rsidRPr="004A2F72" w14:paraId="2B75B1F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4A7636B" w14:textId="77777777" w:rsidR="00042CF4" w:rsidRPr="004A2F72" w:rsidRDefault="00000000">
            <w:pPr>
              <w:jc w:val="both"/>
              <w:rPr>
                <w:rFonts w:asciiTheme="minorHAnsi" w:hAnsiTheme="minorHAnsi"/>
              </w:rPr>
            </w:pPr>
            <w:r w:rsidRPr="004A2F72">
              <w:rPr>
                <w:rFonts w:asciiTheme="minorHAnsi" w:hAnsiTheme="minorHAnsi"/>
                <w:b/>
                <w:bCs/>
                <w:sz w:val="21"/>
                <w:szCs w:val="21"/>
              </w:rPr>
              <w:t>Agrupamiento K-Medias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9DB285" w14:textId="77777777" w:rsidR="00042CF4" w:rsidRPr="004A2F72" w:rsidRDefault="00000000">
            <w:pPr>
              <w:jc w:val="both"/>
              <w:rPr>
                <w:rFonts w:asciiTheme="minorHAnsi" w:hAnsiTheme="minorHAnsi"/>
              </w:rPr>
            </w:pPr>
            <w:r w:rsidRPr="004A2F72">
              <w:rPr>
                <w:rFonts w:asciiTheme="minorHAnsi" w:hAnsiTheme="minorHAnsi"/>
                <w:sz w:val="21"/>
                <w:szCs w:val="21"/>
              </w:rPr>
              <w:t xml:space="preserve">Identificación de morfotipos de eventos de desaturación sobre curvas de saturación de oxígeno y construcción de los estados </w:t>
            </w:r>
            <w:r w:rsidRPr="004A2F72">
              <w:rPr>
                <w:rFonts w:asciiTheme="minorHAnsi" w:hAnsiTheme="minorHAnsi"/>
                <w:sz w:val="21"/>
                <w:szCs w:val="21"/>
              </w:rPr>
              <w:lastRenderedPageBreak/>
              <w:t>PAC a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0D6906D"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lastRenderedPageBreak/>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26F8608"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Caps. 4 y 5</w:t>
            </w:r>
          </w:p>
        </w:tc>
      </w:tr>
      <w:tr w:rsidR="00042CF4" w:rsidRPr="004A2F72" w14:paraId="649387C6"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D39B230" w14:textId="77777777" w:rsidR="00042CF4" w:rsidRPr="004A2F72" w:rsidRDefault="00000000">
            <w:pPr>
              <w:jc w:val="both"/>
              <w:rPr>
                <w:rFonts w:asciiTheme="minorHAnsi" w:hAnsiTheme="minorHAnsi"/>
              </w:rPr>
            </w:pPr>
            <w:r w:rsidRPr="004A2F72">
              <w:rPr>
                <w:rFonts w:asciiTheme="minorHAnsi" w:hAnsiTheme="minorHAnsi"/>
                <w:b/>
                <w:bCs/>
                <w:sz w:val="21"/>
                <w:szCs w:val="21"/>
              </w:rPr>
              <w:t>Análisis de componentes principales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75CAA2" w14:textId="77777777" w:rsidR="00042CF4" w:rsidRPr="004A2F72" w:rsidRDefault="00000000">
            <w:pPr>
              <w:jc w:val="both"/>
              <w:rPr>
                <w:rFonts w:asciiTheme="minorHAnsi" w:hAnsiTheme="minorHAnsi"/>
              </w:rPr>
            </w:pPr>
            <w:r w:rsidRPr="004A2F72">
              <w:rPr>
                <w:rFonts w:asciiTheme="minorHAnsi" w:hAnsiTheme="minorHAnsi"/>
                <w:sz w:val="21"/>
                <w:szCs w:val="21"/>
              </w:rPr>
              <w:t>Reducción de dimensionalidad para explorar la estructura de la matriz de variables nocturnas y visualizar la separación entre perfiles fisiológicos de pacientes.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6EB719C"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1722F76"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Caps. 4, 5 y 6</w:t>
            </w:r>
          </w:p>
        </w:tc>
      </w:tr>
      <w:tr w:rsidR="00042CF4" w:rsidRPr="004A2F72" w14:paraId="7020827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CCA2D4" w14:textId="77777777" w:rsidR="00042CF4" w:rsidRPr="004A2F72" w:rsidRDefault="00000000">
            <w:pPr>
              <w:jc w:val="both"/>
              <w:rPr>
                <w:rFonts w:asciiTheme="minorHAnsi" w:hAnsiTheme="minorHAnsi"/>
              </w:rPr>
            </w:pPr>
            <w:r w:rsidRPr="004A2F72">
              <w:rPr>
                <w:rFonts w:asciiTheme="minorHAnsi" w:hAnsiTheme="minorHAnsi"/>
                <w:b/>
                <w:bCs/>
                <w:sz w:val="21"/>
                <w:szCs w:val="21"/>
              </w:rPr>
              <w:t>Análisis de silueta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8F6812" w14:textId="77777777" w:rsidR="00042CF4" w:rsidRPr="004A2F72" w:rsidRDefault="00000000">
            <w:pPr>
              <w:jc w:val="both"/>
              <w:rPr>
                <w:rFonts w:asciiTheme="minorHAnsi" w:hAnsiTheme="minorHAnsi"/>
              </w:rPr>
            </w:pPr>
            <w:r w:rsidRPr="004A2F72">
              <w:rPr>
                <w:rFonts w:asciiTheme="minorHAnsi" w:hAnsiTheme="minorHAnsi"/>
                <w:sz w:val="21"/>
                <w:szCs w:val="21"/>
              </w:rPr>
              <w:t>Criterio cuantitativo para la selección del número óptimo de grupos en el fenotipado de eventos de desaturación.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985834"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67C7851"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 4</w:t>
            </w:r>
          </w:p>
        </w:tc>
      </w:tr>
      <w:tr w:rsidR="00042CF4" w:rsidRPr="004A2F72" w14:paraId="5864D9F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A39A3D6" w14:textId="77777777" w:rsidR="00042CF4" w:rsidRPr="004A2F72" w:rsidRDefault="00000000">
            <w:pPr>
              <w:jc w:val="both"/>
              <w:rPr>
                <w:rFonts w:asciiTheme="minorHAnsi" w:hAnsiTheme="minorHAnsi"/>
              </w:rPr>
            </w:pPr>
            <w:r w:rsidRPr="004A2F72">
              <w:rPr>
                <w:rFonts w:asciiTheme="minorHAnsi" w:hAnsiTheme="minorHAnsi"/>
                <w:b/>
                <w:bCs/>
                <w:sz w:val="21"/>
                <w:szCs w:val="21"/>
              </w:rPr>
              <w:t>Agrupamiento de trayectorias nocturnas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4F20CA" w14:textId="77777777" w:rsidR="00042CF4" w:rsidRPr="004A2F72" w:rsidRDefault="00000000">
            <w:pPr>
              <w:jc w:val="both"/>
              <w:rPr>
                <w:rFonts w:asciiTheme="minorHAnsi" w:hAnsiTheme="minorHAnsi"/>
              </w:rPr>
            </w:pPr>
            <w:r w:rsidRPr="004A2F72">
              <w:rPr>
                <w:rFonts w:asciiTheme="minorHAnsi" w:hAnsiTheme="minorHAnsi"/>
                <w:sz w:val="21"/>
                <w:szCs w:val="21"/>
              </w:rPr>
              <w:t>Identificación de arquetipos de organización nocturna sobre vectores de variables dinámicas por noche, para caracterizar fenotipos globales de sueño.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6A982E7"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0FC77C"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 5</w:t>
            </w:r>
          </w:p>
        </w:tc>
      </w:tr>
      <w:tr w:rsidR="00042CF4" w:rsidRPr="004A2F72" w14:paraId="31609C1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00A53C9" w14:textId="77777777" w:rsidR="00042CF4" w:rsidRPr="004A2F72" w:rsidRDefault="00000000">
            <w:pPr>
              <w:jc w:val="both"/>
              <w:rPr>
                <w:rFonts w:asciiTheme="minorHAnsi" w:hAnsiTheme="minorHAnsi"/>
              </w:rPr>
            </w:pPr>
            <w:r w:rsidRPr="004A2F72">
              <w:rPr>
                <w:rFonts w:asciiTheme="minorHAnsi" w:hAnsiTheme="minorHAnsi"/>
                <w:b/>
                <w:bCs/>
                <w:sz w:val="21"/>
                <w:szCs w:val="21"/>
              </w:rPr>
              <w:t>Cadenas de Markov discretas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73D2050" w14:textId="77777777" w:rsidR="00042CF4" w:rsidRPr="004A2F72" w:rsidRDefault="00000000">
            <w:pPr>
              <w:jc w:val="both"/>
              <w:rPr>
                <w:rFonts w:asciiTheme="minorHAnsi" w:hAnsiTheme="minorHAnsi"/>
              </w:rPr>
            </w:pPr>
            <w:r w:rsidRPr="004A2F72">
              <w:rPr>
                <w:rFonts w:asciiTheme="minorHAnsi" w:hAnsiTheme="minorHAnsi"/>
                <w:sz w:val="21"/>
                <w:szCs w:val="21"/>
              </w:rPr>
              <w:t>Modelado de las probabilidades de transición entre estados PAC. Identificación de corredores de vulnerabilidad fisiológica y análisis de resiliencia post-evento.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F0D4BD2"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Modelos dinámicos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2277F3"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Caps. 5 y 6</w:t>
            </w:r>
          </w:p>
        </w:tc>
      </w:tr>
      <w:tr w:rsidR="00042CF4" w:rsidRPr="004A2F72" w14:paraId="6809B07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251E185" w14:textId="77777777" w:rsidR="00042CF4" w:rsidRPr="004A2F72" w:rsidRDefault="00000000">
            <w:pPr>
              <w:jc w:val="both"/>
              <w:rPr>
                <w:rFonts w:asciiTheme="minorHAnsi" w:hAnsiTheme="minorHAnsi"/>
              </w:rPr>
            </w:pPr>
            <w:r w:rsidRPr="004A2F72">
              <w:rPr>
                <w:rFonts w:asciiTheme="minorHAnsi" w:hAnsiTheme="minorHAnsi"/>
                <w:b/>
                <w:bCs/>
                <w:sz w:val="21"/>
                <w:szCs w:val="21"/>
              </w:rPr>
              <w:t>Análisis de acoplamiento temporal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45951D" w14:textId="77777777" w:rsidR="00042CF4" w:rsidRPr="004A2F72" w:rsidRDefault="00000000">
            <w:pPr>
              <w:jc w:val="both"/>
              <w:rPr>
                <w:rFonts w:asciiTheme="minorHAnsi" w:hAnsiTheme="minorHAnsi"/>
              </w:rPr>
            </w:pPr>
            <w:r w:rsidRPr="004A2F72">
              <w:rPr>
                <w:rFonts w:asciiTheme="minorHAnsi" w:hAnsiTheme="minorHAnsi"/>
                <w:sz w:val="21"/>
                <w:szCs w:val="21"/>
              </w:rPr>
              <w:t>Cuantificación de la fracción de eventos severos que ocurren en estados PAC patológicos, como indicador de la interdependencia entre dinámica nocturna y severidad de 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A7665A8"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B26BC12"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 6</w:t>
            </w:r>
          </w:p>
        </w:tc>
      </w:tr>
      <w:tr w:rsidR="00042CF4" w:rsidRPr="004A2F72" w14:paraId="5F6535A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6C2B7D7" w14:textId="77777777" w:rsidR="00042CF4" w:rsidRPr="004A2F72" w:rsidRDefault="00000000">
            <w:pPr>
              <w:jc w:val="both"/>
              <w:rPr>
                <w:rFonts w:asciiTheme="minorHAnsi" w:hAnsiTheme="minorHAnsi"/>
              </w:rPr>
            </w:pPr>
            <w:r w:rsidRPr="004A2F72">
              <w:rPr>
                <w:rFonts w:asciiTheme="minorHAnsi" w:hAnsiTheme="minorHAnsi"/>
                <w:b/>
                <w:bCs/>
                <w:sz w:val="21"/>
                <w:szCs w:val="21"/>
              </w:rPr>
              <w:t>Predicción sobre ventanas deslizantes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139650" w14:textId="77777777" w:rsidR="00042CF4" w:rsidRPr="004A2F72" w:rsidRDefault="00000000">
            <w:pPr>
              <w:jc w:val="both"/>
              <w:rPr>
                <w:rFonts w:asciiTheme="minorHAnsi" w:hAnsiTheme="minorHAnsi"/>
              </w:rPr>
            </w:pPr>
            <w:r w:rsidRPr="004A2F72">
              <w:rPr>
                <w:rFonts w:asciiTheme="minorHAnsi" w:hAnsiTheme="minorHAnsi"/>
                <w:sz w:val="21"/>
                <w:szCs w:val="21"/>
              </w:rPr>
              <w:t>Construcción del dataset de predicción prospectiva sobre ventanas temporales de treinta segundos para la estimación del margen de anticipación del evento severo.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57A416C"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2C9538"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 8</w:t>
            </w:r>
          </w:p>
        </w:tc>
      </w:tr>
      <w:tr w:rsidR="00042CF4" w:rsidRPr="004A2F72" w14:paraId="13C0CD5A"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8C8E764" w14:textId="77777777" w:rsidR="00042CF4" w:rsidRPr="004A2F72" w:rsidRDefault="00000000">
            <w:pPr>
              <w:jc w:val="both"/>
              <w:rPr>
                <w:rFonts w:asciiTheme="minorHAnsi" w:hAnsiTheme="minorHAnsi"/>
              </w:rPr>
            </w:pPr>
            <w:r w:rsidRPr="004A2F72">
              <w:rPr>
                <w:rFonts w:asciiTheme="minorHAnsi" w:hAnsiTheme="minorHAnsi"/>
                <w:b/>
                <w:bCs/>
                <w:sz w:val="21"/>
                <w:szCs w:val="21"/>
              </w:rPr>
              <w:t>Gradiente potenciado (LightGBM)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61D459" w14:textId="77777777" w:rsidR="00042CF4" w:rsidRPr="004A2F72" w:rsidRDefault="00000000">
            <w:pPr>
              <w:jc w:val="both"/>
              <w:rPr>
                <w:rFonts w:asciiTheme="minorHAnsi" w:hAnsiTheme="minorHAnsi"/>
              </w:rPr>
            </w:pPr>
            <w:r w:rsidRPr="004A2F72">
              <w:rPr>
                <w:rFonts w:asciiTheme="minorHAnsi" w:hAnsiTheme="minorHAnsi"/>
                <w:sz w:val="21"/>
                <w:szCs w:val="21"/>
              </w:rPr>
              <w:t>Modelo de predicción de severidad del evento individual a partir de variables acumuladas en ventana temporal. Evaluación del poder discriminativo mediante validación a nivel de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1C3F2F"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B0DAA5"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Caps. 6 y 8</w:t>
            </w:r>
          </w:p>
        </w:tc>
      </w:tr>
      <w:tr w:rsidR="00042CF4" w:rsidRPr="004A2F72" w14:paraId="7E5A54B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92AE44" w14:textId="77777777" w:rsidR="00042CF4" w:rsidRPr="004A2F72" w:rsidRDefault="00000000">
            <w:pPr>
              <w:jc w:val="both"/>
              <w:rPr>
                <w:rFonts w:asciiTheme="minorHAnsi" w:hAnsiTheme="minorHAnsi"/>
              </w:rPr>
            </w:pPr>
            <w:r w:rsidRPr="004A2F72">
              <w:rPr>
                <w:rFonts w:asciiTheme="minorHAnsi" w:hAnsiTheme="minorHAnsi"/>
                <w:b/>
                <w:bCs/>
                <w:sz w:val="21"/>
                <w:szCs w:val="21"/>
              </w:rPr>
              <w:t>Regresión logística regularizada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3445DD" w14:textId="77777777" w:rsidR="00042CF4" w:rsidRPr="004A2F72" w:rsidRDefault="00000000">
            <w:pPr>
              <w:jc w:val="both"/>
              <w:rPr>
                <w:rFonts w:asciiTheme="minorHAnsi" w:hAnsiTheme="minorHAnsi"/>
              </w:rPr>
            </w:pPr>
            <w:r w:rsidRPr="004A2F72">
              <w:rPr>
                <w:rFonts w:asciiTheme="minorHAnsi" w:hAnsiTheme="minorHAnsi"/>
                <w:sz w:val="21"/>
                <w:szCs w:val="21"/>
              </w:rPr>
              <w:t xml:space="preserve">Clasificación de riesgo nocturno sobre la matriz de variables de noche. La relación entre las variables dinámicas y el riesgo global resultó aproximadamente </w:t>
            </w:r>
            <w:r w:rsidRPr="004A2F72">
              <w:rPr>
                <w:rFonts w:asciiTheme="minorHAnsi" w:hAnsiTheme="minorHAnsi"/>
                <w:sz w:val="21"/>
                <w:szCs w:val="21"/>
              </w:rPr>
              <w:lastRenderedPageBreak/>
              <w:t>lineal en este espacio de representación.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468FCFD"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lastRenderedPageBreak/>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ABE373F"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 6</w:t>
            </w:r>
          </w:p>
        </w:tc>
      </w:tr>
      <w:tr w:rsidR="00042CF4" w:rsidRPr="004A2F72" w14:paraId="50735F7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70A860" w14:textId="77777777" w:rsidR="00042CF4" w:rsidRPr="004A2F72" w:rsidRDefault="00000000">
            <w:pPr>
              <w:jc w:val="both"/>
              <w:rPr>
                <w:rFonts w:asciiTheme="minorHAnsi" w:hAnsiTheme="minorHAnsi"/>
              </w:rPr>
            </w:pPr>
            <w:r w:rsidRPr="004A2F72">
              <w:rPr>
                <w:rFonts w:asciiTheme="minorHAnsi" w:hAnsiTheme="minorHAnsi"/>
                <w:b/>
                <w:bCs/>
                <w:sz w:val="21"/>
                <w:szCs w:val="21"/>
              </w:rPr>
              <w:t>Bosque aleatorio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F8580B" w14:textId="77777777" w:rsidR="00042CF4" w:rsidRPr="004A2F72" w:rsidRDefault="00000000">
            <w:pPr>
              <w:jc w:val="both"/>
              <w:rPr>
                <w:rFonts w:asciiTheme="minorHAnsi" w:hAnsiTheme="minorHAnsi"/>
              </w:rPr>
            </w:pPr>
            <w:r w:rsidRPr="004A2F72">
              <w:rPr>
                <w:rFonts w:asciiTheme="minorHAnsi" w:hAnsiTheme="minorHAnsi"/>
                <w:sz w:val="21"/>
                <w:szCs w:val="21"/>
              </w:rPr>
              <w:t>Modelo de referencia para la clasificación de severidad nocturna y análisis de importancia de variables en la validación predictiva.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85690CA"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FD5359"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 6</w:t>
            </w:r>
          </w:p>
        </w:tc>
      </w:tr>
      <w:tr w:rsidR="00042CF4" w:rsidRPr="004A2F72" w14:paraId="5C66FB5A"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23164C" w14:textId="77777777" w:rsidR="00042CF4" w:rsidRPr="004A2F72" w:rsidRDefault="00000000">
            <w:pPr>
              <w:jc w:val="both"/>
              <w:rPr>
                <w:rFonts w:asciiTheme="minorHAnsi" w:hAnsiTheme="minorHAnsi"/>
              </w:rPr>
            </w:pPr>
            <w:r w:rsidRPr="004A2F72">
              <w:rPr>
                <w:rFonts w:asciiTheme="minorHAnsi" w:hAnsiTheme="minorHAnsi"/>
                <w:b/>
                <w:bCs/>
                <w:sz w:val="21"/>
                <w:szCs w:val="21"/>
              </w:rPr>
              <w:t>Validación cruzada LOPO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1B6448" w14:textId="77777777" w:rsidR="00042CF4" w:rsidRPr="004A2F72" w:rsidRDefault="00000000">
            <w:pPr>
              <w:jc w:val="both"/>
              <w:rPr>
                <w:rFonts w:asciiTheme="minorHAnsi" w:hAnsiTheme="minorHAnsi"/>
              </w:rPr>
            </w:pPr>
            <w:r w:rsidRPr="004A2F72">
              <w:rPr>
                <w:rFonts w:asciiTheme="minorHAnsi" w:hAnsiTheme="minorHAnsi"/>
                <w:sz w:val="21"/>
                <w:szCs w:val="21"/>
              </w:rPr>
              <w:t>Esquema de validación estricta que deja un paciente fuera en cada iteración, evaluando la capacidad de generalización real de los modelos a individuos no vistos durante el entrenamiento.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BE315F7"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CE8F94"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Caps. 6 y 8</w:t>
            </w:r>
          </w:p>
        </w:tc>
      </w:tr>
      <w:tr w:rsidR="00042CF4" w:rsidRPr="004A2F72" w14:paraId="7B5AD17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C59CAF" w14:textId="77777777" w:rsidR="00042CF4" w:rsidRPr="004A2F72" w:rsidRDefault="00000000">
            <w:pPr>
              <w:jc w:val="both"/>
              <w:rPr>
                <w:rFonts w:asciiTheme="minorHAnsi" w:hAnsiTheme="minorHAnsi"/>
              </w:rPr>
            </w:pPr>
            <w:r w:rsidRPr="004A2F72">
              <w:rPr>
                <w:rFonts w:asciiTheme="minorHAnsi" w:hAnsiTheme="minorHAnsi"/>
                <w:b/>
                <w:bCs/>
                <w:sz w:val="21"/>
                <w:szCs w:val="21"/>
              </w:rPr>
              <w:t>Análisis de curva ROC y precisión-exhaustividad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18E27B" w14:textId="77777777" w:rsidR="00042CF4" w:rsidRPr="004A2F72" w:rsidRDefault="00000000">
            <w:pPr>
              <w:jc w:val="both"/>
              <w:rPr>
                <w:rFonts w:asciiTheme="minorHAnsi" w:hAnsiTheme="minorHAnsi"/>
              </w:rPr>
            </w:pPr>
            <w:r w:rsidRPr="004A2F72">
              <w:rPr>
                <w:rFonts w:asciiTheme="minorHAnsi" w:hAnsiTheme="minorHAnsi"/>
                <w:sz w:val="21"/>
                <w:szCs w:val="21"/>
              </w:rPr>
              <w:t>Evaluación del poder discriminativo de los modelos predictivos y definición de umbrales operacionales clínicamente relevantes.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B55ABC"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A668DCD"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Caps. 6 y 8</w:t>
            </w:r>
          </w:p>
        </w:tc>
      </w:tr>
      <w:tr w:rsidR="00042CF4" w:rsidRPr="004A2F72" w14:paraId="6EDA5C6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224321" w14:textId="64D2A881" w:rsidR="00042CF4" w:rsidRPr="004A2F72" w:rsidRDefault="00000000">
            <w:pPr>
              <w:jc w:val="both"/>
              <w:rPr>
                <w:rFonts w:asciiTheme="minorHAnsi" w:hAnsiTheme="minorHAnsi"/>
              </w:rPr>
            </w:pPr>
            <w:r w:rsidRPr="004A2F72">
              <w:rPr>
                <w:rFonts w:asciiTheme="minorHAnsi" w:hAnsiTheme="minorHAnsi"/>
                <w:b/>
                <w:bCs/>
                <w:sz w:val="21"/>
                <w:szCs w:val="21"/>
              </w:rPr>
              <w:t>Valores de Shapley</w:t>
            </w:r>
            <w:r w:rsidR="008E60CC" w:rsidRPr="004A2F72">
              <w:rPr>
                <w:rFonts w:asciiTheme="minorHAnsi" w:hAnsiTheme="minorHAnsi"/>
                <w:b/>
                <w:bCs/>
                <w:sz w:val="21"/>
                <w:szCs w:val="21"/>
              </w:rPr>
              <w:t xml:space="preserve"> (</w:t>
            </w:r>
            <w:r w:rsidR="008E60CC" w:rsidRPr="004A2F72">
              <w:rPr>
                <w:rFonts w:asciiTheme="minorHAnsi" w:hAnsiTheme="minorHAnsi"/>
                <w:b/>
                <w:bCs/>
                <w:i/>
                <w:iCs/>
                <w:sz w:val="21"/>
                <w:szCs w:val="21"/>
              </w:rPr>
              <w:t>SHAP</w:t>
            </w:r>
            <w:r w:rsidR="008E60CC" w:rsidRPr="004A2F72">
              <w:rPr>
                <w:rFonts w:asciiTheme="minorHAnsi" w:hAnsiTheme="minorHAnsi"/>
                <w:b/>
                <w:bCs/>
                <w:sz w:val="21"/>
                <w:szCs w:val="21"/>
              </w:rPr>
              <w:t>)</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7629B8" w14:textId="77777777" w:rsidR="00042CF4" w:rsidRPr="004A2F72" w:rsidRDefault="00000000">
            <w:pPr>
              <w:jc w:val="both"/>
              <w:rPr>
                <w:rFonts w:asciiTheme="minorHAnsi" w:hAnsiTheme="minorHAnsi"/>
              </w:rPr>
            </w:pPr>
            <w:r w:rsidRPr="004A2F72">
              <w:rPr>
                <w:rFonts w:asciiTheme="minorHAnsi" w:hAnsiTheme="minorHAnsi"/>
                <w:sz w:val="21"/>
                <w:szCs w:val="21"/>
              </w:rPr>
              <w:t>Análisis de interpretabilidad del clasificador de riesgo nocturno: identificación de las variables con mayor contribución individual a la predicción en cada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F2B64CB"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Interpretabilidad</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C67745"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 6</w:t>
            </w:r>
          </w:p>
        </w:tc>
      </w:tr>
      <w:tr w:rsidR="00042CF4" w:rsidRPr="004A2F72" w14:paraId="1D1C7FB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176FB9" w14:textId="77777777" w:rsidR="00042CF4" w:rsidRPr="004A2F72" w:rsidRDefault="00000000">
            <w:pPr>
              <w:jc w:val="both"/>
              <w:rPr>
                <w:rFonts w:asciiTheme="minorHAnsi" w:hAnsiTheme="minorHAnsi"/>
              </w:rPr>
            </w:pPr>
            <w:r w:rsidRPr="004A2F72">
              <w:rPr>
                <w:rFonts w:asciiTheme="minorHAnsi" w:hAnsiTheme="minorHAnsi"/>
                <w:b/>
                <w:bCs/>
                <w:sz w:val="21"/>
                <w:szCs w:val="21"/>
              </w:rPr>
              <w:t>Estudio de ablación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25EEBE" w14:textId="77777777" w:rsidR="00042CF4" w:rsidRPr="004A2F72" w:rsidRDefault="00000000">
            <w:pPr>
              <w:jc w:val="both"/>
              <w:rPr>
                <w:rFonts w:asciiTheme="minorHAnsi" w:hAnsiTheme="minorHAnsi"/>
              </w:rPr>
            </w:pPr>
            <w:r w:rsidRPr="004A2F72">
              <w:rPr>
                <w:rFonts w:asciiTheme="minorHAnsi" w:hAnsiTheme="minorHAnsi"/>
                <w:sz w:val="21"/>
                <w:szCs w:val="21"/>
              </w:rPr>
              <w:t>Evaluación del aporte incremental de cada grupo de variables —estados PAC, dinámicas, morfotipos, índice autonómico, clínicas— a la capacidad predictiva del modelo.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449D07"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49039D"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 6</w:t>
            </w:r>
          </w:p>
        </w:tc>
      </w:tr>
      <w:tr w:rsidR="00042CF4" w:rsidRPr="004A2F72" w14:paraId="44F0E08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95D7077" w14:textId="77777777" w:rsidR="00042CF4" w:rsidRPr="004A2F72" w:rsidRDefault="00000000">
            <w:pPr>
              <w:jc w:val="both"/>
              <w:rPr>
                <w:rFonts w:asciiTheme="minorHAnsi" w:hAnsiTheme="minorHAnsi"/>
              </w:rPr>
            </w:pPr>
            <w:r w:rsidRPr="004A2F72">
              <w:rPr>
                <w:rFonts w:asciiTheme="minorHAnsi" w:hAnsiTheme="minorHAnsi"/>
                <w:b/>
                <w:bCs/>
                <w:sz w:val="21"/>
                <w:szCs w:val="21"/>
              </w:rPr>
              <w:t>Índice de riesgo compuesto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0B07A45" w14:textId="77777777" w:rsidR="00042CF4" w:rsidRPr="004A2F72" w:rsidRDefault="00000000">
            <w:pPr>
              <w:jc w:val="both"/>
              <w:rPr>
                <w:rFonts w:asciiTheme="minorHAnsi" w:hAnsiTheme="minorHAnsi"/>
              </w:rPr>
            </w:pPr>
            <w:r w:rsidRPr="004A2F72">
              <w:rPr>
                <w:rFonts w:asciiTheme="minorHAnsi" w:hAnsiTheme="minorHAnsi"/>
                <w:sz w:val="21"/>
                <w:szCs w:val="21"/>
              </w:rPr>
              <w:t>Síntesis de las predicciones a nivel de evento y a nivel de noche en un índice integrado, con ponderación justificada por el poder predictivo diferencial de cada componente.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D4F7844" w14:textId="77777777" w:rsidR="00042CF4" w:rsidRPr="004A2F72" w:rsidRDefault="00000000">
            <w:pPr>
              <w:jc w:val="both"/>
              <w:rPr>
                <w:rFonts w:asciiTheme="minorHAnsi" w:hAnsiTheme="minorHAnsi"/>
              </w:rPr>
            </w:pPr>
            <w:r w:rsidRPr="004A2F72">
              <w:rPr>
                <w:rFonts w:asciiTheme="minorHAnsi" w:hAnsiTheme="minorHAnsi"/>
                <w:i/>
                <w:iCs/>
                <w:color w:val="6B7280"/>
                <w:sz w:val="21"/>
                <w:szCs w:val="21"/>
              </w:rPr>
              <w:t>Síntesis predictiva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C5A250" w14:textId="77777777" w:rsidR="00042CF4" w:rsidRPr="004A2F72" w:rsidRDefault="00000000">
            <w:pPr>
              <w:jc w:val="center"/>
              <w:rPr>
                <w:rFonts w:asciiTheme="minorHAnsi" w:hAnsiTheme="minorHAnsi"/>
              </w:rPr>
            </w:pPr>
            <w:r w:rsidRPr="004A2F72">
              <w:rPr>
                <w:rFonts w:asciiTheme="minorHAnsi" w:hAnsiTheme="minorHAnsi"/>
                <w:color w:val="1E3A5F"/>
                <w:sz w:val="20"/>
                <w:szCs w:val="20"/>
              </w:rPr>
              <w:t>Cap. 6</w:t>
            </w:r>
          </w:p>
        </w:tc>
      </w:tr>
    </w:tbl>
    <w:p w14:paraId="67E38D69" w14:textId="77777777" w:rsidR="00042CF4" w:rsidRPr="004A2F72" w:rsidRDefault="00042CF4">
      <w:pPr>
        <w:spacing w:before="80"/>
        <w:rPr>
          <w:rFonts w:asciiTheme="minorHAnsi" w:hAnsiTheme="minorHAnsi"/>
        </w:rPr>
      </w:pPr>
    </w:p>
    <w:p w14:paraId="1FB4EF94" w14:textId="77777777" w:rsidR="00042CF4" w:rsidRPr="004A2F72" w:rsidRDefault="00000000">
      <w:pPr>
        <w:pStyle w:val="Ttulo2"/>
        <w:rPr>
          <w:rFonts w:asciiTheme="minorHAnsi" w:hAnsiTheme="minorHAnsi"/>
        </w:rPr>
      </w:pPr>
      <w:r w:rsidRPr="004A2F72">
        <w:rPr>
          <w:rFonts w:asciiTheme="minorHAnsi" w:hAnsiTheme="minorHAnsi"/>
        </w:rPr>
        <w:t>1.9 Estructura general del trabajo final</w:t>
      </w:r>
    </w:p>
    <w:p w14:paraId="7B57D2F5"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El trabajo se organiza en diez capítulos que siguen la narrativa analítica del proyecto, desde la caracterización de los eventos individuales hasta la predicción prospectiva con fines terapéuticos.</w:t>
      </w:r>
    </w:p>
    <w:p w14:paraId="73450B2B"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 xml:space="preserve">El Capítulo 2 presenta el marco teórico: fundamentos clínicos del síndrome de apnea obstructiva del sueño, monitoreo domiciliario mediante oximetría portátil, enfoques para el </w:t>
      </w:r>
      <w:r w:rsidRPr="004A2F72">
        <w:rPr>
          <w:rFonts w:asciiTheme="minorHAnsi" w:hAnsiTheme="minorHAnsi"/>
        </w:rPr>
        <w:lastRenderedPageBreak/>
        <w:t>análisis de series temporales biomédicas y principios del aprendizaje automático aplicado a la salud.</w:t>
      </w:r>
    </w:p>
    <w:p w14:paraId="3ACA6EBA"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El Capítulo 3 describe los materiales y la metodología: la cohorte de pacientes y sus características clínicas, el diseño del pipeline PAC_v3 con su arquitectura de procesamiento, las decisiones de control de calidad de señal y los criterios de definición de las cohortes de análisis.</w:t>
      </w:r>
    </w:p>
    <w:p w14:paraId="0306A406"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El Capítulo 4 aborda el análisis de los eventos de desaturación: detección de eventos, fenotipado morfológico mediante agrupamiento no supervisado sobre la curva de saturación, caracterización de los cinco morfotipos y definición y validación del Índice de Respuesta Autonómica.</w:t>
      </w:r>
    </w:p>
    <w:p w14:paraId="30CF347A"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El Capítulo 5 introduce los estados dinámicos nocturnos: construcción de los estados PAC a tres escalas temporales, análisis de la fisiología característica de cada estado, comparación entre escalas y representación de la noche como trayectoria multiescala.</w:t>
      </w:r>
    </w:p>
    <w:p w14:paraId="181CEBF1"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El Capítulo 6 integra morfotipos y estados para cuantificar el acoplamiento entre contexto dinámico y severidad de evento, construye los modelos predictivos implementados en el pipeline y valida su capacidad de generalización mediante validación cruzada estricta a nivel de paciente.</w:t>
      </w:r>
    </w:p>
    <w:p w14:paraId="289428D6"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El Capítulo 7 describe el desarrollo de la aplicación clínica interactiva: su arquitectura, el pipeline de inferencia automatizado y las cinco pestañas de análisis con integración de inteligencia artificial para la generación de informes.</w:t>
      </w:r>
    </w:p>
    <w:p w14:paraId="56EF5AA1"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El Capítulo 8 extiende el marco predictivo al dominio prospectivo, presentando el sistema de predicción con margen temporal para la estimulación transcutánea preventiva, su diseño metodológico y los resultados de evaluación mediante validación a nivel de paciente.</w:t>
      </w:r>
    </w:p>
    <w:p w14:paraId="3774B7DE"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El Capítulo 9 sitúa el trabajo en la literatura existente, analizando enfoques previos en fenotipado de eventos de desaturación, sistemas de estados dinámicos del sueño y predicción de apnea mediante señales domiciliarias.</w:t>
      </w:r>
    </w:p>
    <w:p w14:paraId="13BE9046" w14:textId="77777777" w:rsidR="00042CF4" w:rsidRPr="004A2F72" w:rsidRDefault="00000000">
      <w:pPr>
        <w:spacing w:after="160"/>
        <w:ind w:firstLine="720"/>
        <w:jc w:val="both"/>
        <w:rPr>
          <w:rFonts w:asciiTheme="minorHAnsi" w:hAnsiTheme="minorHAnsi"/>
        </w:rPr>
      </w:pPr>
      <w:r w:rsidRPr="004A2F72">
        <w:rPr>
          <w:rFonts w:asciiTheme="minorHAnsi" w:hAnsiTheme="minorHAnsi"/>
        </w:rPr>
        <w:t>El Capítulo 10 sintetiza las conclusiones del trabajo, presenta las contribuciones principales en sus dimensiones metodológica, científica y aplicada, discute las limitaciones y propone líneas de investigación futura, incluyendo la extensión de la cohorte, la incorporación de señales adicionales y el desarrollo de estudios multicéntricos.</w:t>
      </w:r>
    </w:p>
    <w:p w14:paraId="10B191FE" w14:textId="77777777" w:rsidR="00042CF4" w:rsidRPr="004A2F72" w:rsidRDefault="00042CF4">
      <w:pPr>
        <w:spacing w:before="200"/>
        <w:rPr>
          <w:rFonts w:asciiTheme="minorHAnsi" w:hAnsiTheme="minorHAnsi"/>
        </w:rPr>
      </w:pPr>
    </w:p>
    <w:p w14:paraId="073A7878" w14:textId="77777777" w:rsidR="00042CF4" w:rsidRPr="004A2F72" w:rsidRDefault="00000000">
      <w:pPr>
        <w:pStyle w:val="Ttulo2"/>
        <w:rPr>
          <w:rFonts w:asciiTheme="minorHAnsi" w:hAnsiTheme="minorHAnsi"/>
        </w:rPr>
      </w:pPr>
      <w:r w:rsidRPr="004A2F72">
        <w:rPr>
          <w:rFonts w:asciiTheme="minorHAnsi" w:hAnsiTheme="minorHAnsi"/>
        </w:rPr>
        <w:t>Referencias</w:t>
      </w:r>
    </w:p>
    <w:p w14:paraId="692C5A19" w14:textId="77777777" w:rsidR="00042CF4" w:rsidRPr="004A2F72" w:rsidRDefault="00000000">
      <w:pPr>
        <w:spacing w:after="140"/>
        <w:ind w:left="720" w:hanging="720"/>
        <w:jc w:val="both"/>
        <w:rPr>
          <w:rFonts w:asciiTheme="minorHAnsi" w:hAnsiTheme="minorHAnsi"/>
        </w:rPr>
      </w:pPr>
      <w:r w:rsidRPr="004A2F72">
        <w:rPr>
          <w:rFonts w:asciiTheme="minorHAnsi" w:hAnsiTheme="minorHAnsi"/>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sidRPr="004A2F72">
        <w:rPr>
          <w:rFonts w:asciiTheme="minorHAnsi" w:hAnsiTheme="minorHAnsi"/>
          <w:i/>
          <w:iCs/>
          <w:sz w:val="21"/>
          <w:szCs w:val="21"/>
        </w:rPr>
        <w:t>The Lancet Respiratory Medicine</w:t>
      </w:r>
      <w:r w:rsidRPr="004A2F72">
        <w:rPr>
          <w:rFonts w:asciiTheme="minorHAnsi" w:hAnsiTheme="minorHAnsi"/>
          <w:sz w:val="21"/>
          <w:szCs w:val="21"/>
        </w:rPr>
        <w:t>, 7(8), 687–698. https://doi.org/10.1016/S2213-2600(19)30198-5</w:t>
      </w:r>
    </w:p>
    <w:p w14:paraId="65896E5C" w14:textId="77777777" w:rsidR="00042CF4" w:rsidRPr="004A2F72" w:rsidRDefault="00000000">
      <w:pPr>
        <w:spacing w:after="140"/>
        <w:ind w:left="720" w:hanging="720"/>
        <w:jc w:val="both"/>
        <w:rPr>
          <w:rFonts w:asciiTheme="minorHAnsi" w:hAnsiTheme="minorHAnsi"/>
        </w:rPr>
      </w:pPr>
      <w:r w:rsidRPr="004A2F72">
        <w:rPr>
          <w:rFonts w:asciiTheme="minorHAnsi" w:hAnsiTheme="minorHAnsi"/>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sidRPr="004A2F72">
        <w:rPr>
          <w:rFonts w:asciiTheme="minorHAnsi" w:hAnsiTheme="minorHAnsi"/>
          <w:i/>
          <w:iCs/>
          <w:sz w:val="21"/>
          <w:szCs w:val="21"/>
        </w:rPr>
        <w:t>Journal of Clinical Sleep Medicine</w:t>
      </w:r>
      <w:r w:rsidRPr="004A2F72">
        <w:rPr>
          <w:rFonts w:asciiTheme="minorHAnsi" w:hAnsiTheme="minorHAnsi"/>
          <w:sz w:val="21"/>
          <w:szCs w:val="21"/>
        </w:rPr>
        <w:t>, 8(5), 597–619. https://doi.org/10.5664/jcsm.2172</w:t>
      </w:r>
    </w:p>
    <w:p w14:paraId="645BB43C" w14:textId="77777777" w:rsidR="00042CF4" w:rsidRPr="004A2F72" w:rsidRDefault="00000000">
      <w:pPr>
        <w:spacing w:after="140"/>
        <w:ind w:left="720" w:hanging="720"/>
        <w:jc w:val="both"/>
        <w:rPr>
          <w:rFonts w:asciiTheme="minorHAnsi" w:hAnsiTheme="minorHAnsi"/>
        </w:rPr>
      </w:pPr>
      <w:r w:rsidRPr="004A2F72">
        <w:rPr>
          <w:rFonts w:asciiTheme="minorHAnsi" w:hAnsiTheme="minorHAnsi"/>
          <w:sz w:val="21"/>
          <w:szCs w:val="21"/>
        </w:rPr>
        <w:lastRenderedPageBreak/>
        <w:t xml:space="preserve">Kapur, V. K., Auckley, D. H., Chowdhuri, S., Kuhlmann, D. C., Mehra, R., Ramar, K., &amp; Harrod, C. G. (2017). Clinical practice guideline for diagnostic testing for adult obstructive sleep apnea: an American Academy of Sleep Medicine clinical practice guideline. </w:t>
      </w:r>
      <w:r w:rsidRPr="004A2F72">
        <w:rPr>
          <w:rFonts w:asciiTheme="minorHAnsi" w:hAnsiTheme="minorHAnsi"/>
          <w:i/>
          <w:iCs/>
          <w:sz w:val="21"/>
          <w:szCs w:val="21"/>
        </w:rPr>
        <w:t>Journal of Clinical Sleep Medicine</w:t>
      </w:r>
      <w:r w:rsidRPr="004A2F72">
        <w:rPr>
          <w:rFonts w:asciiTheme="minorHAnsi" w:hAnsiTheme="minorHAnsi"/>
          <w:sz w:val="21"/>
          <w:szCs w:val="21"/>
        </w:rPr>
        <w:t>, 13(3), 479–504. https://doi.org/10.5664/jcsm.6506</w:t>
      </w:r>
    </w:p>
    <w:p w14:paraId="2D1E4275" w14:textId="77777777" w:rsidR="00042CF4" w:rsidRPr="004A2F72" w:rsidRDefault="00000000">
      <w:pPr>
        <w:spacing w:after="140"/>
        <w:ind w:left="720" w:hanging="720"/>
        <w:jc w:val="both"/>
        <w:rPr>
          <w:rFonts w:asciiTheme="minorHAnsi" w:hAnsiTheme="minorHAnsi"/>
        </w:rPr>
      </w:pPr>
      <w:r w:rsidRPr="004A2F72">
        <w:rPr>
          <w:rFonts w:asciiTheme="minorHAnsi" w:hAnsiTheme="minorHAnsi"/>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sidRPr="004A2F72">
        <w:rPr>
          <w:rFonts w:asciiTheme="minorHAnsi" w:hAnsiTheme="minorHAnsi"/>
          <w:i/>
          <w:iCs/>
          <w:sz w:val="21"/>
          <w:szCs w:val="21"/>
        </w:rPr>
        <w:t>Sleep</w:t>
      </w:r>
      <w:r w:rsidRPr="004A2F72">
        <w:rPr>
          <w:rFonts w:asciiTheme="minorHAnsi" w:hAnsiTheme="minorHAnsi"/>
          <w:sz w:val="21"/>
          <w:szCs w:val="21"/>
        </w:rPr>
        <w:t>, 44(7), zsab030. https://doi.org/10.1093/sleep/zsab030</w:t>
      </w:r>
    </w:p>
    <w:p w14:paraId="7CE8421D" w14:textId="77777777" w:rsidR="00042CF4" w:rsidRPr="004A2F72" w:rsidRDefault="00000000">
      <w:pPr>
        <w:spacing w:after="140"/>
        <w:ind w:left="720" w:hanging="720"/>
        <w:jc w:val="both"/>
        <w:rPr>
          <w:rFonts w:asciiTheme="minorHAnsi" w:hAnsiTheme="minorHAnsi"/>
        </w:rPr>
      </w:pPr>
      <w:r w:rsidRPr="004A2F72">
        <w:rPr>
          <w:rFonts w:asciiTheme="minorHAnsi" w:hAnsiTheme="minorHAnsi"/>
          <w:sz w:val="21"/>
          <w:szCs w:val="21"/>
        </w:rPr>
        <w:t xml:space="preserve">Yoon, H., &amp; Choi, S. H. (2023). Technologies for sleep monitoring at home: wearables and nearables. </w:t>
      </w:r>
      <w:r w:rsidRPr="004A2F72">
        <w:rPr>
          <w:rFonts w:asciiTheme="minorHAnsi" w:hAnsiTheme="minorHAnsi"/>
          <w:i/>
          <w:iCs/>
          <w:sz w:val="21"/>
          <w:szCs w:val="21"/>
        </w:rPr>
        <w:t>Biomedical Engineering Letters</w:t>
      </w:r>
      <w:r w:rsidRPr="004A2F72">
        <w:rPr>
          <w:rFonts w:asciiTheme="minorHAnsi" w:hAnsiTheme="minorHAnsi"/>
          <w:sz w:val="21"/>
          <w:szCs w:val="21"/>
        </w:rPr>
        <w:t>, 13(3), 313–327. https://doi.org/10.1007/s13534-023-00305-8</w:t>
      </w:r>
    </w:p>
    <w:p w14:paraId="753D5AE7" w14:textId="77777777" w:rsidR="00042CF4" w:rsidRPr="004A2F72" w:rsidRDefault="00042CF4">
      <w:pPr>
        <w:spacing w:before="200"/>
        <w:rPr>
          <w:rFonts w:asciiTheme="minorHAnsi" w:hAnsiTheme="minorHAnsi"/>
        </w:rPr>
      </w:pPr>
    </w:p>
    <w:p w14:paraId="4DD5403C" w14:textId="77777777" w:rsidR="00042CF4" w:rsidRPr="004A2F72" w:rsidRDefault="00000000">
      <w:pPr>
        <w:pBdr>
          <w:top w:val="single" w:sz="4" w:space="0" w:color="D1D5DB"/>
        </w:pBdr>
        <w:spacing w:before="320" w:after="80"/>
        <w:jc w:val="right"/>
        <w:rPr>
          <w:rFonts w:asciiTheme="minorHAnsi" w:hAnsiTheme="minorHAnsi"/>
        </w:rPr>
      </w:pPr>
      <w:r w:rsidRPr="004A2F72">
        <w:rPr>
          <w:rFonts w:asciiTheme="minorHAnsi" w:hAnsiTheme="minorHAnsi"/>
          <w:i/>
          <w:iCs/>
          <w:color w:val="6B7280"/>
          <w:sz w:val="18"/>
          <w:szCs w:val="18"/>
        </w:rPr>
        <w:t>Continúa en Capítulo 2 — Marco Teórico</w:t>
      </w:r>
    </w:p>
    <w:sectPr w:rsidR="00042CF4" w:rsidRPr="004A2F72">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E1943" w14:textId="77777777" w:rsidR="00A57EAE" w:rsidRDefault="00A57EAE">
      <w:r>
        <w:separator/>
      </w:r>
    </w:p>
  </w:endnote>
  <w:endnote w:type="continuationSeparator" w:id="0">
    <w:p w14:paraId="13DD7C33" w14:textId="77777777" w:rsidR="00A57EAE" w:rsidRDefault="00A57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B586" w14:textId="77777777" w:rsidR="00042CF4"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920951">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330C9" w14:textId="77777777" w:rsidR="00A57EAE" w:rsidRDefault="00A57EAE">
      <w:r>
        <w:separator/>
      </w:r>
    </w:p>
  </w:footnote>
  <w:footnote w:type="continuationSeparator" w:id="0">
    <w:p w14:paraId="48F56F57" w14:textId="77777777" w:rsidR="00A57EAE" w:rsidRDefault="00A57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429C" w14:textId="77876D81" w:rsidR="00042CF4"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1 — Introducción  (v</w:t>
    </w:r>
    <w:r w:rsidR="004D3E74">
      <w:rPr>
        <w:i/>
        <w:iCs/>
        <w:color w:val="6B7280"/>
        <w:sz w:val="18"/>
        <w:szCs w:val="18"/>
      </w:rPr>
      <w:t>10</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711B"/>
    <w:multiLevelType w:val="hybridMultilevel"/>
    <w:tmpl w:val="E21291B8"/>
    <w:lvl w:ilvl="0" w:tplc="D2801A38">
      <w:start w:val="1"/>
      <w:numFmt w:val="bullet"/>
      <w:lvlText w:val="●"/>
      <w:lvlJc w:val="left"/>
      <w:pPr>
        <w:ind w:left="720" w:hanging="360"/>
      </w:pPr>
    </w:lvl>
    <w:lvl w:ilvl="1" w:tplc="38964E5A">
      <w:start w:val="1"/>
      <w:numFmt w:val="bullet"/>
      <w:lvlText w:val="○"/>
      <w:lvlJc w:val="left"/>
      <w:pPr>
        <w:ind w:left="1440" w:hanging="360"/>
      </w:pPr>
    </w:lvl>
    <w:lvl w:ilvl="2" w:tplc="628E558E">
      <w:start w:val="1"/>
      <w:numFmt w:val="bullet"/>
      <w:lvlText w:val="■"/>
      <w:lvlJc w:val="left"/>
      <w:pPr>
        <w:ind w:left="2160" w:hanging="360"/>
      </w:pPr>
    </w:lvl>
    <w:lvl w:ilvl="3" w:tplc="AC3C033E">
      <w:start w:val="1"/>
      <w:numFmt w:val="bullet"/>
      <w:lvlText w:val="●"/>
      <w:lvlJc w:val="left"/>
      <w:pPr>
        <w:ind w:left="2880" w:hanging="360"/>
      </w:pPr>
    </w:lvl>
    <w:lvl w:ilvl="4" w:tplc="E4FC2078">
      <w:start w:val="1"/>
      <w:numFmt w:val="bullet"/>
      <w:lvlText w:val="○"/>
      <w:lvlJc w:val="left"/>
      <w:pPr>
        <w:ind w:left="3600" w:hanging="360"/>
      </w:pPr>
    </w:lvl>
    <w:lvl w:ilvl="5" w:tplc="E096574A">
      <w:start w:val="1"/>
      <w:numFmt w:val="bullet"/>
      <w:lvlText w:val="■"/>
      <w:lvlJc w:val="left"/>
      <w:pPr>
        <w:ind w:left="4320" w:hanging="360"/>
      </w:pPr>
    </w:lvl>
    <w:lvl w:ilvl="6" w:tplc="36A6E912">
      <w:start w:val="1"/>
      <w:numFmt w:val="bullet"/>
      <w:lvlText w:val="●"/>
      <w:lvlJc w:val="left"/>
      <w:pPr>
        <w:ind w:left="5040" w:hanging="360"/>
      </w:pPr>
    </w:lvl>
    <w:lvl w:ilvl="7" w:tplc="1DF6C72E">
      <w:start w:val="1"/>
      <w:numFmt w:val="bullet"/>
      <w:lvlText w:val="●"/>
      <w:lvlJc w:val="left"/>
      <w:pPr>
        <w:ind w:left="5760" w:hanging="360"/>
      </w:pPr>
    </w:lvl>
    <w:lvl w:ilvl="8" w:tplc="DFD8126A">
      <w:start w:val="1"/>
      <w:numFmt w:val="bullet"/>
      <w:lvlText w:val="●"/>
      <w:lvlJc w:val="left"/>
      <w:pPr>
        <w:ind w:left="6480" w:hanging="360"/>
      </w:pPr>
    </w:lvl>
  </w:abstractNum>
  <w:abstractNum w:abstractNumId="1" w15:restartNumberingAfterBreak="0">
    <w:nsid w:val="640968D7"/>
    <w:multiLevelType w:val="hybridMultilevel"/>
    <w:tmpl w:val="87BA8034"/>
    <w:lvl w:ilvl="0" w:tplc="E9D2E5D4">
      <w:start w:val="1"/>
      <w:numFmt w:val="bullet"/>
      <w:lvlText w:val="•"/>
      <w:lvlJc w:val="left"/>
      <w:pPr>
        <w:spacing w:before="40" w:after="80"/>
        <w:ind w:left="720" w:hanging="360"/>
      </w:pPr>
    </w:lvl>
    <w:lvl w:ilvl="1" w:tplc="855E0A7C">
      <w:numFmt w:val="decimal"/>
      <w:lvlText w:val=""/>
      <w:lvlJc w:val="left"/>
    </w:lvl>
    <w:lvl w:ilvl="2" w:tplc="8AB6CACE">
      <w:numFmt w:val="decimal"/>
      <w:lvlText w:val=""/>
      <w:lvlJc w:val="left"/>
    </w:lvl>
    <w:lvl w:ilvl="3" w:tplc="EF427EE6">
      <w:numFmt w:val="decimal"/>
      <w:lvlText w:val=""/>
      <w:lvlJc w:val="left"/>
    </w:lvl>
    <w:lvl w:ilvl="4" w:tplc="CC28972E">
      <w:numFmt w:val="decimal"/>
      <w:lvlText w:val=""/>
      <w:lvlJc w:val="left"/>
    </w:lvl>
    <w:lvl w:ilvl="5" w:tplc="651E8C12">
      <w:numFmt w:val="decimal"/>
      <w:lvlText w:val=""/>
      <w:lvlJc w:val="left"/>
    </w:lvl>
    <w:lvl w:ilvl="6" w:tplc="FE42CCBE">
      <w:numFmt w:val="decimal"/>
      <w:lvlText w:val=""/>
      <w:lvlJc w:val="left"/>
    </w:lvl>
    <w:lvl w:ilvl="7" w:tplc="143A62C0">
      <w:numFmt w:val="decimal"/>
      <w:lvlText w:val=""/>
      <w:lvlJc w:val="left"/>
    </w:lvl>
    <w:lvl w:ilvl="8" w:tplc="E098D632">
      <w:numFmt w:val="decimal"/>
      <w:lvlText w:val=""/>
      <w:lvlJc w:val="left"/>
    </w:lvl>
  </w:abstractNum>
  <w:num w:numId="1" w16cid:durableId="1805779285">
    <w:abstractNumId w:val="0"/>
    <w:lvlOverride w:ilvl="0">
      <w:startOverride w:val="1"/>
    </w:lvlOverride>
  </w:num>
  <w:num w:numId="2" w16cid:durableId="1758939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CF4"/>
    <w:rsid w:val="00042CF4"/>
    <w:rsid w:val="000B7CEC"/>
    <w:rsid w:val="000F4508"/>
    <w:rsid w:val="00180F9A"/>
    <w:rsid w:val="002A2F94"/>
    <w:rsid w:val="0044129A"/>
    <w:rsid w:val="00450F8E"/>
    <w:rsid w:val="00494D01"/>
    <w:rsid w:val="004A2F72"/>
    <w:rsid w:val="004D3E74"/>
    <w:rsid w:val="005D056D"/>
    <w:rsid w:val="00630080"/>
    <w:rsid w:val="00684FB8"/>
    <w:rsid w:val="00844F02"/>
    <w:rsid w:val="008E60CC"/>
    <w:rsid w:val="00920951"/>
    <w:rsid w:val="00A57EAE"/>
    <w:rsid w:val="00B5555F"/>
    <w:rsid w:val="00B64F0B"/>
    <w:rsid w:val="00DE13F9"/>
    <w:rsid w:val="00E26E6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F9E9E2D"/>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semiHidden/>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1">
    <w:name w:val="p1"/>
    <w:basedOn w:val="Normal"/>
    <w:rsid w:val="000B7CEC"/>
    <w:pPr>
      <w:spacing w:before="100" w:beforeAutospacing="1" w:after="100" w:afterAutospacing="1"/>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4D3E74"/>
    <w:pPr>
      <w:tabs>
        <w:tab w:val="center" w:pos="4419"/>
        <w:tab w:val="right" w:pos="8838"/>
      </w:tabs>
    </w:pPr>
  </w:style>
  <w:style w:type="character" w:customStyle="1" w:styleId="EncabezadoCar">
    <w:name w:val="Encabezado Car"/>
    <w:basedOn w:val="Fuentedeprrafopredeter"/>
    <w:link w:val="Encabezado"/>
    <w:uiPriority w:val="99"/>
    <w:rsid w:val="004D3E74"/>
  </w:style>
  <w:style w:type="paragraph" w:styleId="Piedepgina">
    <w:name w:val="footer"/>
    <w:basedOn w:val="Normal"/>
    <w:link w:val="PiedepginaCar"/>
    <w:uiPriority w:val="99"/>
    <w:unhideWhenUsed/>
    <w:rsid w:val="004D3E74"/>
    <w:pPr>
      <w:tabs>
        <w:tab w:val="center" w:pos="4419"/>
        <w:tab w:val="right" w:pos="8838"/>
      </w:tabs>
    </w:pPr>
  </w:style>
  <w:style w:type="character" w:customStyle="1" w:styleId="PiedepginaCar">
    <w:name w:val="Pie de página Car"/>
    <w:basedOn w:val="Fuentedeprrafopredeter"/>
    <w:link w:val="Piedepgina"/>
    <w:uiPriority w:val="99"/>
    <w:rsid w:val="004D3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3083</Words>
  <Characters>19114</Characters>
  <Application>Microsoft Office Word</Application>
  <DocSecurity>0</DocSecurity>
  <Lines>487</Lines>
  <Paragraphs>153</Paragraphs>
  <ScaleCrop>false</ScaleCrop>
  <Company/>
  <LinksUpToDate>false</LinksUpToDate>
  <CharactersWithSpaces>22049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2026-05-23T21:19:00Z</dcterms:created>
  <dcterms:modified xsi:type="dcterms:W3CDTF">2026-05-23T21:19:00Z</dcterms:modified>
</cp:coreProperties>
</file>