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3B77" w14:textId="77777777" w:rsidR="0001608C" w:rsidRDefault="00000000">
      <w:pPr>
        <w:spacing w:after="60"/>
      </w:pPr>
      <w:r>
        <w:rPr>
          <w:b/>
          <w:bCs/>
          <w:color w:val="6B7280"/>
          <w:sz w:val="20"/>
          <w:szCs w:val="20"/>
        </w:rPr>
        <w:t>CAPÍTULO 2</w:t>
      </w:r>
    </w:p>
    <w:p w14:paraId="50CB2137" w14:textId="77777777" w:rsidR="0001608C" w:rsidRDefault="00000000">
      <w:pPr>
        <w:spacing w:after="120"/>
      </w:pPr>
      <w:r>
        <w:rPr>
          <w:b/>
          <w:bCs/>
          <w:color w:val="1E3A5F"/>
          <w:sz w:val="36"/>
          <w:szCs w:val="36"/>
        </w:rPr>
        <w:t>Marco Teórico</w:t>
      </w:r>
    </w:p>
    <w:p w14:paraId="1BC624C8" w14:textId="77777777" w:rsidR="0001608C" w:rsidRDefault="00000000">
      <w:pPr>
        <w:spacing w:after="240"/>
      </w:pPr>
      <w:r>
        <w:rPr>
          <w:color w:val="6B7280"/>
          <w:sz w:val="18"/>
          <w:szCs w:val="18"/>
        </w:rPr>
        <w:t>Versión 10  ·  Mayo 2026</w:t>
      </w:r>
    </w:p>
    <w:p w14:paraId="1B7DD26B" w14:textId="77777777" w:rsidR="0001608C" w:rsidRDefault="00000000">
      <w:pPr>
        <w:spacing w:before="80" w:after="80" w:line="276" w:lineRule="auto"/>
      </w:pPr>
      <w:r>
        <w:t>El diseño metodológico del Proyecto PAC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14:paraId="44FE0A78" w14:textId="77777777" w:rsidR="0001608C" w:rsidRDefault="00000000">
      <w:pPr>
        <w:pStyle w:val="Ttulo2"/>
      </w:pPr>
      <w:r>
        <w:t>2.1  Síndrome de apnea obstructiva del sueño</w:t>
      </w:r>
    </w:p>
    <w:p w14:paraId="60E46EE4" w14:textId="77777777" w:rsidR="0001608C" w:rsidRDefault="00000000">
      <w:pPr>
        <w:spacing w:before="80" w:after="80" w:line="276" w:lineRule="auto"/>
      </w:pPr>
      <w:r>
        <w:t>La apnea obstructiva del sueño (SAOS) se caracteriza por episodios recurrentes de colapso de la vía aérea superior durante el sueño, con reducción o cese del flujo aéreo pese al esfuerzo ventilatorio. Cada episodio genera desaturación de oxígeno, activación simpática —elevación transitoria de FC y presión arterial— y microdespertares que fragmentan el sueño. La repetición crónica favorece disfunción endotelial, inflamación y remodelado cardiovascular, explicando su asociación con hipertensión, arritmias, accidente cerebrovascular (ACV) y mayor mortalidad (Somers et al., 1993; Shamsuzzaman et al., 2003; Marin et al., 2005). Su prevalencia en adultos se estima entre el 15 y el 30 %, con subdiagnóstico frecuente (Young et al., 1993; Benjafield et al., 2019).</w:t>
      </w:r>
    </w:p>
    <w:p w14:paraId="367EFDBD" w14:textId="77777777" w:rsidR="0001608C" w:rsidRDefault="00000000">
      <w:pPr>
        <w:spacing w:before="80" w:after="80" w:line="276" w:lineRule="auto"/>
      </w:pPr>
      <w:r>
        <w:t>Los índices clásicos de severidad —AHI, ODI y T90— condensan la noche en valores escalares que omiten la heterogeneidad morfológica de los eventos y su contexto dinámico. La literatura reciente propone la carga hipóxica (hypoxic burden) como métrica complementaria con mayor asociación con eventos cardiovasculares adversos que los índices de frecuencia aislados (Azarbarzin et al., 2019). A esto se añade la variabilidad noche a noche intraindividual —considerada en este trabajo como información estructural, no ruido— y la evidencia de fenotipos clínicos y fisiopatológicos diferenciados entre pacientes, que refuerzan la necesidad de representaciones dinámicas y longitudinales que los índices agregados no capturan (Levendowski et al., 2009; Eckert et al., 2013; Zinchuk &amp; Yaggi, 2020).</w:t>
      </w:r>
    </w:p>
    <w:p w14:paraId="40D91E7E" w14:textId="77777777" w:rsidR="0001608C" w:rsidRDefault="00000000">
      <w:pPr>
        <w:pStyle w:val="Ttulo2"/>
      </w:pPr>
      <w:r>
        <w:t>2.2  Monitoreo domiciliario con oximetría portátil</w:t>
      </w:r>
    </w:p>
    <w:p w14:paraId="647391A7" w14:textId="77777777" w:rsidR="0001608C" w:rsidRDefault="00000000">
      <w:pPr>
        <w:spacing w:before="80" w:after="80" w:line="276" w:lineRule="auto"/>
      </w:pPr>
      <w:r>
        <w:t>La polisomnografía en laboratorio (PSG) es el estudio de referencia diagnóstico para el SAOS, pero su acceso es limitado por costo, desplazamiento y condiciones artificiales de sueño, y en la práctica habitual genera un único registro por episodio (Kapur et al., 2017). El monitoreo domiciliario con oximetría portátil ofrece un compromiso diferente: señales continuas adquiridas en condiciones reales y durante noches consecutivas, con un subconjunto más reducido de variables. Las tres señales disponibles tienen roles analíticos complementarios: SpO₂ es la señal primaria —su curva completa por evento captura morfología que los índices agregados pierden—; FC es señal secundaria —refleja la activación simpática asociada al evento con latencia de segundos—; y MOV es señal auxiliar —útil para detectar activaciones motoras vinculadas a microdespertares e inferir postura (Yoon &amp; Choi, 2023).</w:t>
      </w:r>
    </w:p>
    <w:p w14:paraId="40A79141" w14:textId="77777777" w:rsidR="0001608C" w:rsidRDefault="00000000">
      <w:pPr>
        <w:spacing w:before="80" w:after="80" w:line="276" w:lineRule="auto"/>
      </w:pPr>
      <w:r>
        <w:lastRenderedPageBreak/>
        <w:t>La posibilidad de registrar noches consecutivas convierte la variabilidad intraindividual en una ventaja metodológica: cada noche es una observación con valor propio. Sin embargo, las noches de un mismo paciente no son independientes, lo que acota el número efectivo de unidades de análisis al número de pacientes y condiciona el diseño de la validación (§2.4). Los registros domiciliarios presentan además limitaciones analíticas: calidad de señal más variable que en laboratorio, artefactos de movimiento y ausencia de EEG para estadificación directa del sueño. El monitoreo domiciliario no reemplaza a la PSG para el diagnóstico integral, sino que habilita un enfoque complementario: el análisis longitudinal de la dinámica nocturna en condiciones reales a una escala temporal que la PSG no puede proporcionar.</w:t>
      </w:r>
    </w:p>
    <w:p w14:paraId="777C3F6E" w14:textId="77777777" w:rsidR="0001608C" w:rsidRDefault="00000000">
      <w:pPr>
        <w:pStyle w:val="Ttulo2"/>
      </w:pPr>
      <w:r>
        <w:t>2.3  Análisis de series temporales fisiológicas</w:t>
      </w:r>
    </w:p>
    <w:p w14:paraId="749A5079" w14:textId="77777777" w:rsidR="0001608C" w:rsidRDefault="00000000">
      <w:pPr>
        <w:spacing w:before="80" w:after="80" w:line="276" w:lineRule="auto"/>
      </w:pPr>
      <w:r>
        <w:t>Las señales fisiológicas nocturnas son series temporales no estacionarias, multivariadas y ruidosas: su media, varianza y estructura de correlación cambian a lo largo de la noche en función de los ciclos de sueño y los eventos respiratorios; SpO₂, FC y MOV evolucionan de forma coordinada con relaciones temporales cruzadas que contienen información fisiológica no recuperable por análisis univariado; y su ruido estructurado requiere preprocesamiento explícito antes del análisis de contenido. El análisis se organiza en tres niveles jerárquicos —evento, noche, paciente— que estructuran los métodos del trabajo.</w:t>
      </w:r>
    </w:p>
    <w:p w14:paraId="5F0E395A" w14:textId="77777777" w:rsidR="0001608C" w:rsidRDefault="00000000">
      <w:pPr>
        <w:spacing w:before="80" w:after="80" w:line="276" w:lineRule="auto"/>
      </w:pPr>
      <w:r>
        <w:t>En el nivel de evento, el análisis consiste en la detección y caracterización morfológica de cada EDO: su pendiente de caída, profundidad máxima, forma de la recuperación y carga hipóxica integrada. El agrupamiento no supervisado sobre la curva completa —normalizada a longitud fija— permite identificar familias de eventos con perfiles morfológicos similares, trasladando al dominio de la oximetría la idea, consolidada en electrocardiografía, de que la forma de la señal contiene información fisiológica que los indicadores escalares no capturan (de Chazal et al., 2004). La FC añade una dimensión complementaria: la respuesta autonómica evento a evento —latencia, magnitud y velocidad de recuperación del incremento de FC— es cuantificable desde la señal continua y provee información parcialmente independiente de la severidad hipóxica (Somers et al., 1993; Dempsey et al., 2010).</w:t>
      </w:r>
    </w:p>
    <w:p w14:paraId="3FBB143A" w14:textId="77777777" w:rsidR="0001608C" w:rsidRDefault="00000000">
      <w:pPr>
        <w:spacing w:before="80" w:after="80" w:line="276" w:lineRule="auto"/>
      </w:pPr>
      <w:r>
        <w:t>En el nivel de noche, las señales exhiben regularidades a múltiples escalas temporales simultáneas: segundos (reactividad inmediata al evento), minutos (dinámica de recuperación y contexto local) y decenas de minutos (organización global de las fases del sueño). Ninguna escala captura por sí sola la riqueza de la señal. Una estrategia para representar esta organización es la construcción de sistemas de estados dinámicos: conjuntos finitos de estados latentes que capturan configuraciones recurrentes de las variables observadas, asignados a ventanas sucesivas para producir una trayectoria discreta que describe la evolución temporal del sistema. La definición de los estados mediante agrupamiento no supervisado permite que emerjan de los datos sin imponer categorías clínicas a priori (Acharya et al., 2006). Los métodos de reducción de dimensionalidad y agrupamiento que hacen posible tanto el fenotipado morfológico de eventos como la construcción de sistemas de estados dinámicos se describen en la sección siguiente.</w:t>
      </w:r>
    </w:p>
    <w:p w14:paraId="0703C972" w14:textId="77777777" w:rsidR="0001608C" w:rsidRDefault="00000000">
      <w:pPr>
        <w:pStyle w:val="Ttulo2"/>
      </w:pPr>
      <w:r>
        <w:t>2.4  Aprendizaje automático en señales biomédicas</w:t>
      </w:r>
    </w:p>
    <w:p w14:paraId="3753BBC2" w14:textId="77777777" w:rsidR="0001608C" w:rsidRDefault="00000000">
      <w:pPr>
        <w:spacing w:before="80" w:after="80" w:line="276" w:lineRule="auto"/>
      </w:pPr>
      <w:r>
        <w:t xml:space="preserve">El aprendizaje automático es especialmente adecuado para señales biomédicas donde la relación entre variables observadas y fenómenos de interés es no lineal, multidimensional y difícil de especificar a priori. Entre los métodos no supervisados, el </w:t>
      </w:r>
      <w:r>
        <w:lastRenderedPageBreak/>
        <w:t>PCA reduce la dimensionalidad de objetos de alta dimensión —curvas de eventos, vectores de características de ventanas— preservando la variabilidad informativa, y actúa como paso previo al agrupamiento mejorando la separabilidad y atenuando el ruido. El K-means particiona los datos en K grupos minimizando las distancias euclídeas al centroide de cada grupo; su aplicación permite identificar familias de observaciones sin imponer etiquetas externas. La selección de K se guía por criterios cuantitativos —análisis de silueta, índice de Calinski-Harabasz— y consideraciones de interpretabilidad.</w:t>
      </w:r>
    </w:p>
    <w:p w14:paraId="2256D4CD" w14:textId="77777777" w:rsidR="0001608C" w:rsidRDefault="00000000">
      <w:pPr>
        <w:spacing w:before="80" w:after="80" w:line="276" w:lineRule="auto"/>
      </w:pPr>
      <w:r>
        <w:t>Entre los modelos supervisados, la regresión logística regularizada produce modelos lineales interpretables con probabilidades calibradas; los bosques aleatorios capturan relaciones no lineales mediante ensambles de árboles; y el gradiente potenciado —LightGBM (Ke et al., 2017)— construye árboles de forma secuencial corrigiendo errores del modelo anterior, con rendimiento habitualmente competitivo en datos tabulares. La elección entre modelos depende del tamaño del conjunto de datos, la presencia de relaciones no lineales, los requisitos de interpretabilidad y la necesidad de calibración de probabilidades.</w:t>
      </w:r>
    </w:p>
    <w:p w14:paraId="4F4433BE" w14:textId="0681E3E8" w:rsidR="005579C6" w:rsidRDefault="00000000" w:rsidP="005579C6">
      <w:pPr>
        <w:spacing w:before="80" w:after="80" w:line="276" w:lineRule="auto"/>
      </w:pPr>
      <w:r>
        <w:t>La validación en datos longitudinales agrupados requiere esquemas que respeten la independencia entre grupos. La validación cruzada por pliegues aleatorios puede producir estimaciones optimistas cuando observaciones del mismo paciente aparecen simultáneamente en entrenamiento y prueba. La validación Leave-One-Patient-Out (LOPO-CV) resuelve esto evaluando el modelo sobre cada paciente usando exclusivamente los datos de los demás, proporcionando una estimación conservadora y realista de la capacidad de generalización. La interpretabilidad se aborda mediante valores SHAP (Lundberg &amp; Lee, 2017), que cuantifican la contribución marginal de cada variable a cada predicción individual, permitiendo el escrutinio clínico del modelo. Con todo, el aprendizaje automático identifica asociaciones y patrones predictivos, pero no establece causalidad clínica: su interpretación requiere prudencia epistemológica y validación prospectiva en cohortes independientes.</w:t>
      </w:r>
    </w:p>
    <w:p w14:paraId="4E0A8A8A" w14:textId="77777777" w:rsidR="0001608C" w:rsidRDefault="00000000">
      <w:pPr>
        <w:spacing w:before="80" w:after="80" w:line="276" w:lineRule="auto"/>
      </w:pPr>
      <w:r>
        <w:t>Los cuatro dominios revisados convergen en justificar un enfoque continuo —trabajando con la señal completa y no con índices que colapsan la noche en un único valor—, multiescala —capturando la dinámica fisiológica a escalas de segundos, minutos y decenas de minutos simultáneamente— y longitudinal —aprovechando la variabilidad intraindividual multinoche como información analítica con valor propio. El Proyecto PAC se propone como un marco de representación fisiológica continua, multiescala y longitudinal de la noche, orientado a transformar señales domiciliarias en variables interpretables para fenotipado, estratificación y modelado predictivo. El capítulo siguiente describe los materiales y métodos: la cohorte, el dispositivo SOMNI 6000 y el pipeline PAC_v3.</w:t>
      </w:r>
    </w:p>
    <w:p w14:paraId="0571C1BA" w14:textId="77777777" w:rsidR="0001608C" w:rsidRDefault="0001608C">
      <w:pPr>
        <w:spacing w:before="120"/>
      </w:pPr>
    </w:p>
    <w:p w14:paraId="7821BE21" w14:textId="77777777" w:rsidR="0001608C" w:rsidRDefault="00000000">
      <w:pPr>
        <w:spacing w:before="80" w:after="80"/>
      </w:pPr>
      <w:r>
        <w:rPr>
          <w:i/>
          <w:iCs/>
          <w:color w:val="6B7280"/>
        </w:rPr>
        <w:t>Continúa en Capítulo 3 — Materiales y Métodos</w:t>
      </w:r>
    </w:p>
    <w:sectPr w:rsidR="0001608C">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9D83" w14:textId="77777777" w:rsidR="007057DE" w:rsidRDefault="007057DE">
      <w:r>
        <w:separator/>
      </w:r>
    </w:p>
  </w:endnote>
  <w:endnote w:type="continuationSeparator" w:id="0">
    <w:p w14:paraId="405D49E9" w14:textId="77777777" w:rsidR="007057DE" w:rsidRDefault="00705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69D6" w14:textId="77777777" w:rsidR="0001608C" w:rsidRDefault="00000000">
    <w:pPr>
      <w:pBdr>
        <w:top w:val="single" w:sz="4" w:space="0" w:color="D0D8E4"/>
      </w:pBdr>
      <w:tabs>
        <w:tab w:val="right" w:pos="9026"/>
      </w:tabs>
    </w:pPr>
    <w:r>
      <w:rPr>
        <w:color w:val="6B7280"/>
        <w:sz w:val="18"/>
        <w:szCs w:val="18"/>
      </w:rPr>
      <w:t>Roberto Inza · Universidad Austral · 2026</w:t>
    </w:r>
    <w:r>
      <w:rPr>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5579C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2E80" w14:textId="77777777" w:rsidR="007057DE" w:rsidRDefault="007057DE">
      <w:r>
        <w:separator/>
      </w:r>
    </w:p>
  </w:footnote>
  <w:footnote w:type="continuationSeparator" w:id="0">
    <w:p w14:paraId="5E906A12" w14:textId="77777777" w:rsidR="007057DE" w:rsidRDefault="00705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40EB" w14:textId="77777777" w:rsidR="0001608C" w:rsidRDefault="00000000">
    <w:pPr>
      <w:pBdr>
        <w:bottom w:val="single" w:sz="4" w:space="0" w:color="D0D8E4"/>
      </w:pBdr>
      <w:tabs>
        <w:tab w:val="right" w:pos="9026"/>
      </w:tabs>
    </w:pPr>
    <w:r>
      <w:rPr>
        <w:color w:val="6B7280"/>
        <w:sz w:val="18"/>
        <w:szCs w:val="18"/>
      </w:rPr>
      <w:t>Proyecto PAC · Tesis de Maestría</w:t>
    </w:r>
    <w:r>
      <w:rPr>
        <w:i/>
        <w:iCs/>
        <w:color w:val="6B7280"/>
        <w:sz w:val="18"/>
        <w:szCs w:val="18"/>
      </w:rPr>
      <w:tab/>
      <w:t>Capítulo 2 — Marco Teórico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D28A5"/>
    <w:multiLevelType w:val="hybridMultilevel"/>
    <w:tmpl w:val="E9DC324C"/>
    <w:lvl w:ilvl="0" w:tplc="F90CCFB6">
      <w:start w:val="1"/>
      <w:numFmt w:val="bullet"/>
      <w:lvlText w:val="●"/>
      <w:lvlJc w:val="left"/>
      <w:pPr>
        <w:ind w:left="720" w:hanging="360"/>
      </w:pPr>
    </w:lvl>
    <w:lvl w:ilvl="1" w:tplc="FC82A930">
      <w:start w:val="1"/>
      <w:numFmt w:val="bullet"/>
      <w:lvlText w:val="○"/>
      <w:lvlJc w:val="left"/>
      <w:pPr>
        <w:ind w:left="1440" w:hanging="360"/>
      </w:pPr>
    </w:lvl>
    <w:lvl w:ilvl="2" w:tplc="3912FA14">
      <w:start w:val="1"/>
      <w:numFmt w:val="bullet"/>
      <w:lvlText w:val="■"/>
      <w:lvlJc w:val="left"/>
      <w:pPr>
        <w:ind w:left="2160" w:hanging="360"/>
      </w:pPr>
    </w:lvl>
    <w:lvl w:ilvl="3" w:tplc="67C0CDE0">
      <w:start w:val="1"/>
      <w:numFmt w:val="bullet"/>
      <w:lvlText w:val="●"/>
      <w:lvlJc w:val="left"/>
      <w:pPr>
        <w:ind w:left="2880" w:hanging="360"/>
      </w:pPr>
    </w:lvl>
    <w:lvl w:ilvl="4" w:tplc="C238870E">
      <w:start w:val="1"/>
      <w:numFmt w:val="bullet"/>
      <w:lvlText w:val="○"/>
      <w:lvlJc w:val="left"/>
      <w:pPr>
        <w:ind w:left="3600" w:hanging="360"/>
      </w:pPr>
    </w:lvl>
    <w:lvl w:ilvl="5" w:tplc="84CCE6A2">
      <w:start w:val="1"/>
      <w:numFmt w:val="bullet"/>
      <w:lvlText w:val="■"/>
      <w:lvlJc w:val="left"/>
      <w:pPr>
        <w:ind w:left="4320" w:hanging="360"/>
      </w:pPr>
    </w:lvl>
    <w:lvl w:ilvl="6" w:tplc="54385C98">
      <w:start w:val="1"/>
      <w:numFmt w:val="bullet"/>
      <w:lvlText w:val="●"/>
      <w:lvlJc w:val="left"/>
      <w:pPr>
        <w:ind w:left="5040" w:hanging="360"/>
      </w:pPr>
    </w:lvl>
    <w:lvl w:ilvl="7" w:tplc="8C46F202">
      <w:start w:val="1"/>
      <w:numFmt w:val="bullet"/>
      <w:lvlText w:val="●"/>
      <w:lvlJc w:val="left"/>
      <w:pPr>
        <w:ind w:left="5760" w:hanging="360"/>
      </w:pPr>
    </w:lvl>
    <w:lvl w:ilvl="8" w:tplc="ECE6BB08">
      <w:start w:val="1"/>
      <w:numFmt w:val="bullet"/>
      <w:lvlText w:val="●"/>
      <w:lvlJc w:val="left"/>
      <w:pPr>
        <w:ind w:left="6480" w:hanging="360"/>
      </w:pPr>
    </w:lvl>
  </w:abstractNum>
  <w:num w:numId="1" w16cid:durableId="796874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08C"/>
    <w:rsid w:val="0001608C"/>
    <w:rsid w:val="000B4FE3"/>
    <w:rsid w:val="005579C6"/>
    <w:rsid w:val="007057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4C0D8F"/>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40" w:after="120"/>
      <w:outlineLvl w:val="1"/>
    </w:pPr>
    <w:rPr>
      <w:b/>
      <w:bCs/>
      <w:color w:val="1E3A5F"/>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1353</Words>
  <Characters>8335</Characters>
  <Application>Microsoft Office Word</Application>
  <DocSecurity>0</DocSecurity>
  <Lines>128</Lines>
  <Paragraphs>23</Paragraphs>
  <ScaleCrop>false</ScaleCrop>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2026-05-30T17:32:00Z</dcterms:created>
  <dcterms:modified xsi:type="dcterms:W3CDTF">2026-05-30T17:34:00Z</dcterms:modified>
</cp:coreProperties>
</file>