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aps/>
          <w:color w:val="6B7280"/>
          <w:sz w:val="20"/>
          <w:szCs w:val="20"/>
        </w:rPr>
        <w:t xml:space="preserve">CAPÍTULO 2</w:t>
      </w:r>
    </w:p>
    <w:p>
      <w:pPr>
        <w:spacing w:after="80" w:before="0"/>
      </w:pPr>
      <w:r>
        <w:rPr>
          <w:rFonts w:ascii="Arial" w:cs="Arial" w:eastAsia="Arial" w:hAnsi="Arial"/>
          <w:b/>
          <w:bCs/>
          <w:color w:val="1E3A5F"/>
          <w:sz w:val="36"/>
          <w:szCs w:val="36"/>
        </w:rPr>
        <w:t xml:space="preserve">Marco Teórico</w:t>
      </w:r>
    </w:p>
    <w:p>
      <w:pPr>
        <w:pBdr>
          <w:bottom w:val="single" w:color="1E3A5F" w:sz="6"/>
        </w:pBdr>
        <w:spacing w:after="400" w:before="0"/>
      </w:pPr>
      <w:r>
        <w:rPr>
          <w:rFonts w:ascii="Arial" w:cs="Arial" w:eastAsia="Arial" w:hAnsi="Arial"/>
          <w:i/>
          <w:iCs/>
          <w:color w:val="6B7280"/>
          <w:sz w:val="18"/>
          <w:szCs w:val="18"/>
        </w:rPr>
        <w:t xml:space="preserve">Versión 01  ·  Mayo 2026</w:t>
      </w:r>
    </w:p>
    <w:p>
      <w:pPr>
        <w:pStyle w:val="Heading2"/>
        <w:spacing w:after="160" w:before="380"/>
      </w:pPr>
      <w:r>
        <w:rPr>
          <w:rFonts w:ascii="Arial" w:cs="Arial" w:eastAsia="Arial" w:hAnsi="Arial"/>
          <w:b/>
          <w:bCs/>
          <w:color w:val="1E3A5F"/>
          <w:sz w:val="25"/>
          <w:szCs w:val="25"/>
        </w:rPr>
        <w:t xml:space="preserve">2.1 Síndrome de apnea obstructiva del sueño</w:t>
      </w:r>
    </w:p>
    <w:p>
      <w:pPr>
        <w:spacing w:after="160" w:before="0" w:line="240" w:lineRule="auto"/>
        <w:ind w:firstLine="720"/>
        <w:jc w:val="both"/>
      </w:pPr>
      <w:r>
        <w:rPr>
          <w:rFonts w:ascii="Arial" w:cs="Arial" w:eastAsia="Arial" w:hAnsi="Arial"/>
          <w:sz w:val="22"/>
          <w:szCs w:val="22"/>
        </w:rPr>
        <w:t xml:space="preserve">La apnea obstructiva del sueño (SAOS) se caracteriza por episodios recurrentes de colapso total o parcial de la vía aérea superior durante el sueño, con la consiguiente reducción o cese del flujo aéreo a pesar del esfuerzo ventilatorio continuo. Estos episodios provocan desaturaciones de oxígeno en sangre, activaciones autonómicas y microdespertares frecuentes que fragmentan la arquitectura del sueño. La prevalencia del síndrome en la población adulta se estima entre el 15 y el 30% dependiendo de los criterios diagnósticos empleados, con tasas sustancialmente superiores en grupos de riesgo como varones de mediana edad, personas con obesidad o hipertensión arterial (Young et al., 1993; Peppard et al., 2013; Benjafield et al., 2019). A pesar de su elevada prevalencia, el síndrome permanece en gran medida subdiagnosticado, en parte por la dificultad de acceso al estudio de sueño estándar y en parte porque muchos pacientes no reconocen sus síntomas como un problema médico relevante.</w:t>
      </w:r>
    </w:p>
    <w:p>
      <w:pPr>
        <w:spacing w:after="160" w:before="0" w:line="240" w:lineRule="auto"/>
        <w:ind w:firstLine="720"/>
        <w:jc w:val="both"/>
      </w:pPr>
      <w:r>
        <w:rPr>
          <w:rFonts w:ascii="Arial" w:cs="Arial" w:eastAsia="Arial" w:hAnsi="Arial"/>
          <w:sz w:val="22"/>
          <w:szCs w:val="22"/>
        </w:rPr>
        <w:t xml:space="preserve">Desde el punto de vista fisiopatológico, el SAOS resulta de la interacción entre factores anatómicos —que condicionan el calibre de la vía aérea— y factores funcionales neuromusculares —que regulan su apertura durante el sueño. Cada episodio obstructivo genera un estado transitorio de hipoxia que activa el sistema nervioso simpático, eleva la presión arterial y aumenta la frecuencia cardíaca (Somers et al., 1993). La repetición crónica de estos episodios desencadena respuestas inflamatorias, disfunción endotelial y remodelado cardiovascular que explican la asociación del síndrome con hipertensión, arritmias, accidente cerebrovascular y mayor mortalidad cardiovascular (Shamsuzzaman et al., 2003; Marin et al., 2005; Punjabi et al., 2009). La activación autonómica asociada a cada evento es, por tanto, no sólo un signo de la perturbación en curso sino también un posible mediador de sus consecuencias sistémicas a largo plazo, y su caracterización cuantitativa constituye una dimensión fisiológicamente relevante del análisis del síndrome (Dempsey et al., 2010).</w:t>
      </w:r>
    </w:p>
    <w:p>
      <w:pPr>
        <w:spacing w:after="160" w:before="0" w:line="240" w:lineRule="auto"/>
        <w:ind w:firstLine="720"/>
        <w:jc w:val="both"/>
      </w:pPr>
      <w:r>
        <w:rPr>
          <w:rFonts w:ascii="Arial" w:cs="Arial" w:eastAsia="Arial" w:hAnsi="Arial"/>
          <w:sz w:val="22"/>
          <w:szCs w:val="22"/>
        </w:rPr>
        <w:t xml:space="preserve">El diagnóstico y la estadificación de la severidad del síndrome se apoyan en índices derivados del estudio de sueño. El índice de apnea-hipopnea (AHI) contabiliza el número de episodios respiratorios obstructivos por hora de sueño y constituye el indicador de referencia para la clasificación clínica convencional: leve (AHI entre 5 y 15 eventos/hora), moderado (entre 15 y 30) y grave (superior a 30) (Berry et al., 2012). Junto al AHI se emplean habitualmente el índice de desaturación de oxígeno (ODI), que registra el número de caídas de saturación por encima de un umbral de profundidad por hora, y el tiempo con saturación inferior a 90% (T90) como indicador de la carga hipóxica global nocturna. Más recientemente, la denominada carga hipóxica o hypoxic burden ha emergido como un índice complementario que integra no sólo la frecuencia sino también la profundidad y la duración de las desaturaciones, mostrando una asociación más fuerte con resultados cardiovasculares adversos que los índices de frecuencia aislados (Azarbarzin et al., 2019).</w:t>
      </w:r>
    </w:p>
    <w:p>
      <w:pPr>
        <w:spacing w:after="160" w:before="0" w:line="240" w:lineRule="auto"/>
        <w:ind w:firstLine="720"/>
        <w:jc w:val="both"/>
      </w:pPr>
      <w:r>
        <w:rPr>
          <w:rFonts w:ascii="Arial" w:cs="Arial" w:eastAsia="Arial" w:hAnsi="Arial"/>
          <w:sz w:val="22"/>
          <w:szCs w:val="22"/>
        </w:rPr>
        <w:t xml:space="preserve">Sin embargo, estos índices comparten una limitación estructural fundamental: condensan en un único valor resumen la actividad fisiológica de una noche completa, descartando toda la información sobre la dinámica temporal, la morfología de los eventos individuales y la organización secuencial de la noche. Dos pacientes con idéntico ODI pueden diferir sustancialmente en el perfil morfológico de sus eventos de desaturación, en la respuesta autonómica asociada a cada episodio, en la distribución temporal de los eventos a lo largo de la noche o en la variabilidad intranoche de su fisiología. Esta homogeneización dificulta la detección de subtipos fisiopatológicamente distintos que podrían beneficiarse de estrategias terapéuticas diferenciadas (Malhotra et al., 2021). Adicionalmente, la variabilidad noche a noche de estos índices dentro de un mismo paciente puede ser considerable, lo que introduce incertidumbre cuando el diagnóstico o el seguimiento se basan en un único estudio (Levendowski et al., 2009; Bittencourt et al., 2001).</w:t>
      </w:r>
    </w:p>
    <w:p>
      <w:pPr>
        <w:spacing w:after="160" w:before="0" w:line="240" w:lineRule="auto"/>
        <w:ind w:firstLine="720"/>
        <w:jc w:val="both"/>
      </w:pPr>
      <w:r>
        <w:rPr>
          <w:rFonts w:ascii="Arial" w:cs="Arial" w:eastAsia="Arial" w:hAnsi="Arial"/>
          <w:sz w:val="22"/>
          <w:szCs w:val="22"/>
        </w:rPr>
        <w:t xml:space="preserve">La heterogeneidad clínica y fisiopatológica del SAOS ha motivado líneas de investigación orientadas a la identificación de fenotipos o subtipos de pacientes con perfiles diferenciados. Diversos trabajos han explorado el agrupamiento de pacientes según variables clínicas, polisomnográficas o de respuesta al tratamiento, encontrando entre tres y cinco subtipos con características distintivas (Ye et al., 2014; Bailly et al., 2016; Zinchuk &amp; Yaggi, 2020). Otros enfoques se han centrado en los mecanismos fisiopatológicos subyacentes —umbral de activación, ganancia del lazo ventilatorio, capacidad compensatoria muscular y umbral de apnea— como dimensiones que determinan el fenotipo individual más allá de su severidad agregada (Eckert et al., 2013). Estos enfoques sugieren que el análisis detallado de las señales fisiológicas nocturnas, por debajo del nivel de los índices agregados, podría ofrecer información relevante para una caracterización más fina del síndrome en cada paciente.</w:t>
      </w:r>
    </w:p>
    <w:p>
      <w:pPr>
        <w:pStyle w:val="Heading2"/>
        <w:spacing w:after="160" w:before="380"/>
      </w:pPr>
      <w:r>
        <w:rPr>
          <w:rFonts w:ascii="Arial" w:cs="Arial" w:eastAsia="Arial" w:hAnsi="Arial"/>
          <w:b/>
          <w:bCs/>
          <w:color w:val="1E3A5F"/>
          <w:sz w:val="25"/>
          <w:szCs w:val="25"/>
        </w:rPr>
        <w:t xml:space="preserve">2.2 Monitoreo domiciliario con oximetría portátil</w:t>
      </w:r>
    </w:p>
    <w:p>
      <w:pPr>
        <w:spacing w:after="160" w:before="0" w:line="240" w:lineRule="auto"/>
        <w:ind w:firstLine="720"/>
        <w:jc w:val="both"/>
      </w:pPr>
      <w:r>
        <w:rPr>
          <w:rFonts w:ascii="Arial" w:cs="Arial" w:eastAsia="Arial" w:hAnsi="Arial"/>
          <w:sz w:val="22"/>
          <w:szCs w:val="22"/>
        </w:rPr>
        <w:t xml:space="preserve">El estudio de referencia para el diagnóstico del SAOS es la polisomnografía en laboratorio (PSG), que registra simultáneamente señales de electroencefalograma, electrooculograma, electromiograma, flujo aéreo, esfuerzo ventilatorio, saturación de oxígeno, electrocardiograma y posición corporal a lo largo de una noche completa. Su capacidad diagnóstica es elevada, pero su acceso es limitado: implica desplazamiento al laboratorio, coste elevado y condiciones de sueño que pueden diferir de las habituales del paciente, además de producir un único registro por episodio (Kapur et al., 2017). Frente a esta limitación, los dispositivos de monitoreo domiciliario portátil ofrecen un compromiso entre riqueza de señal y facilidad de uso: permiten registrar señales fisiológicas en condiciones naturales de sueño, durante múltiples noches consecutivas y a un coste sustancialmente menor, a expensas de un conjunto más reducido de variables medidas (Collop et al., 2007).</w:t>
      </w:r>
    </w:p>
    <w:p>
      <w:pPr>
        <w:spacing w:after="160" w:before="0" w:line="240" w:lineRule="auto"/>
        <w:ind w:firstLine="720"/>
        <w:jc w:val="both"/>
      </w:pPr>
      <w:r>
        <w:rPr>
          <w:rFonts w:ascii="Arial" w:cs="Arial" w:eastAsia="Arial" w:hAnsi="Arial"/>
          <w:sz w:val="22"/>
          <w:szCs w:val="22"/>
        </w:rPr>
        <w:t xml:space="preserve">Los oxímetros portátiles domiciliarios registran habitualmente tres señales continuas de alta resolución temporal: la saturación periférica de oxígeno (SpO₂), la frecuencia cardíaca derivada de la fotopletismografía y el movimiento corporal estimado mediante acelerómetro. La señal de SpO₂ captura con fidelidad el patrón de desaturación-resaturación asociado a cada evento obstructivo, reflejando tanto su profundidad como su duración y la dinámica de su recuperación. La frecuencia cardíaca provee información sobre la activación autonómica simpática desencadenada por el episodio hipóxico. El movimiento corporal permite inferir la posición del cuerpo, registrar las transiciones posturales a lo largo de la noche y detectar activaciones motoras asociadas a microdespertares. La combinación de estas tres señales genera series temporales multivariadas que contienen información densa sobre la fisiología nocturna y constituyen la materia prima del análisis de datos del síndrome (Yoon &amp; Choi, 2023).</w:t>
      </w:r>
    </w:p>
    <w:p>
      <w:pPr>
        <w:spacing w:after="160" w:before="0" w:line="240" w:lineRule="auto"/>
        <w:ind w:firstLine="720"/>
        <w:jc w:val="both"/>
      </w:pPr>
      <w:r>
        <w:rPr>
          <w:rFonts w:ascii="Arial" w:cs="Arial" w:eastAsia="Arial" w:hAnsi="Arial"/>
          <w:sz w:val="22"/>
          <w:szCs w:val="22"/>
        </w:rPr>
        <w:t xml:space="preserve">Una ventaja metodológicamente relevante del monitoreo domiciliario es la posibilidad de adquirir registros durante noches consecutivas en condiciones habituales de vida del paciente. Esto permite acceder a la variabilidad intraindividual longitudinal de los patrones fisiológicos: la misma persona puede presentar noches con perfiles marcadamente distintos en función de factores como la postura predominante, el consumo de alcohol, el estado de fatiga o la medicación activa (Levendowski et al., 2009; Bittencourt et al., 2001). El análisis de esta variabilidad longitudinal tiene valor tanto para la caracterización del paciente individual —revelando su perfil típico y su rango de variación— como para el análisis metodológico: una cohorte con registros multinocturnos genera un volumen de datos analítico considerablemente mayor que una cohorte equivalente con registro único, lo que podría mejorar la robustez estadística de los modelos de aprendizaje y la estabilidad de las representaciones derivadas.</w:t>
      </w:r>
    </w:p>
    <w:p>
      <w:pPr>
        <w:spacing w:after="160" w:before="0" w:line="240" w:lineRule="auto"/>
        <w:ind w:firstLine="720"/>
        <w:jc w:val="both"/>
      </w:pPr>
      <w:r>
        <w:rPr>
          <w:rFonts w:ascii="Arial" w:cs="Arial" w:eastAsia="Arial" w:hAnsi="Arial"/>
          <w:sz w:val="22"/>
          <w:szCs w:val="22"/>
        </w:rPr>
        <w:t xml:space="preserve">Los registros domiciliarios presentan también limitaciones propias que condicionan el análisis. La calidad de la señal es más variable que en el laboratorio: artefactos de movimiento, desconexión del sensor y cambios posturales abruptos pueden producir segmentos de señal no interpretable que deben ser identificados y excluidos mediante criterios explícitos de control de calidad. La ausencia de señales de sueño como el EEG impide la estadificación directa del sueño por fases, lo que limita la contextualización de algunos fenómenos fisiológicos. A pesar de estas limitaciones, la información contenida en SpO₂, frecuencia cardíaca y movimiento resulta suficiente para el análisis morfológico y dinámico de los eventos de desaturación, y su estructura longitudinal multinoche puede aprovecharse sistemáticamente mediante pipelines de procesamiento reproducibles orientados específicamente a este tipo de datos.</w:t>
      </w:r>
    </w:p>
    <w:p>
      <w:pPr>
        <w:pStyle w:val="Heading2"/>
        <w:spacing w:after="160" w:before="380"/>
      </w:pPr>
      <w:r>
        <w:rPr>
          <w:rFonts w:ascii="Arial" w:cs="Arial" w:eastAsia="Arial" w:hAnsi="Arial"/>
          <w:b/>
          <w:bCs/>
          <w:color w:val="1E3A5F"/>
          <w:sz w:val="25"/>
          <w:szCs w:val="25"/>
        </w:rPr>
        <w:t xml:space="preserve">2.3 Análisis de series temporales fisiológicas</w:t>
      </w:r>
    </w:p>
    <w:p>
      <w:pPr>
        <w:spacing w:after="160" w:before="0" w:line="240" w:lineRule="auto"/>
        <w:ind w:firstLine="720"/>
        <w:jc w:val="both"/>
      </w:pPr>
      <w:r>
        <w:rPr>
          <w:rFonts w:ascii="Arial" w:cs="Arial" w:eastAsia="Arial" w:hAnsi="Arial"/>
          <w:sz w:val="22"/>
          <w:szCs w:val="22"/>
        </w:rPr>
        <w:t xml:space="preserve">Las señales fisiológicas nocturnas obtenidas mediante monitoreo domiciliario constituyen series temporales con propiedades características que condicionan su análisis. Son series no estacionarias: su media, varianza y estructura de correlación cambian a lo largo de la noche en función de los ciclos de sueño, los eventos respiratorios y las fluctuaciones del sistema nervioso autónomo. Son multivariadas: SpO₂, frecuencia cardíaca y movimiento evolucionan de forma coordinada, y sus relaciones temporales cruzadas contienen información sobre la fisiología que no puede recuperarse analizando cada señal por separado. Son además ruidosas e intermitentemente contaminadas por artefactos, lo que requiere etapas de preprocesamiento explícitas antes de cualquier análisis de contenido. El tratamiento riguroso de estas propiedades —no-estacionariedad, multivariabilidad, ruido estructurado— constituye un requisito fundamental para extraer representaciones significativas de la señal.</w:t>
      </w:r>
    </w:p>
    <w:p>
      <w:pPr>
        <w:spacing w:after="160" w:before="0" w:line="240" w:lineRule="auto"/>
        <w:ind w:firstLine="720"/>
        <w:jc w:val="both"/>
      </w:pPr>
      <w:r>
        <w:rPr>
          <w:rFonts w:ascii="Arial" w:cs="Arial" w:eastAsia="Arial" w:hAnsi="Arial"/>
          <w:sz w:val="22"/>
          <w:szCs w:val="22"/>
        </w:rPr>
        <w:t xml:space="preserve">Un primer nivel de análisis consiste en la detección de eventos fisiológicos discretos: segmentos de señal que cumplen criterios operacionales definidos y que corresponden a perturbaciones reconocibles del proceso fisiológico subyacente. En el contexto del monitoreo respiratorio nocturno, el evento central es la desaturación de oxígeno: una caída de la SpO₂ por encima de un umbral de profundidad, con duración mínima, referenciada a una línea de base local que refleja el contexto fisiológico inmediato del evento. La definición operacional de estos umbrales —qué constituye un evento, cuándo comienza y cuándo termina, cómo se segmenta la curva completa— tiene un impacto directo sobre el número de eventos detectados, sus características métricas y la calidad de los análisis posteriores. Una definición reproducible, implementada algorítmicamente y trazable, es un requisito de validez para cualquier análisis basado en eventos.</w:t>
      </w:r>
    </w:p>
    <w:p>
      <w:pPr>
        <w:spacing w:after="160" w:before="0" w:line="240" w:lineRule="auto"/>
        <w:ind w:firstLine="720"/>
        <w:jc w:val="both"/>
      </w:pPr>
      <w:r>
        <w:rPr>
          <w:rFonts w:ascii="Arial" w:cs="Arial" w:eastAsia="Arial" w:hAnsi="Arial"/>
          <w:sz w:val="22"/>
          <w:szCs w:val="22"/>
        </w:rPr>
        <w:t xml:space="preserve">Una vez segmentada, la curva completa de cada evento de desaturación constituye un objeto de análisis multivariado: contiene información sobre la pendiente de caída, la profundidad máxima alcanzada, la forma de la fase de recuperación, la simetría entre caída y recuperación y la carga hipóxica integrada a lo largo del evento. El análisis morfológico de esta curva puede abordarse mediante técnicas de reconocimiento de formas, reducción de dimensionalidad y agrupamiento no supervisado, que permiten identificar familias de eventos con perfiles morfológicos similares. Este enfoque traslada al dominio de las señales de oximetría la idea, consolidada en otras disciplinas biomédicas como la electrocardiografía, de que los patrones de forma de la señal contienen información fisiológica relevante que no es capturada por indicadores escalares de profundidad o duración aislados.</w:t>
      </w:r>
    </w:p>
    <w:p>
      <w:pPr>
        <w:spacing w:after="160" w:before="0" w:line="240" w:lineRule="auto"/>
        <w:ind w:firstLine="720"/>
        <w:jc w:val="both"/>
      </w:pPr>
      <w:r>
        <w:rPr>
          <w:rFonts w:ascii="Arial" w:cs="Arial" w:eastAsia="Arial" w:hAnsi="Arial"/>
          <w:sz w:val="22"/>
          <w:szCs w:val="22"/>
        </w:rPr>
        <w:t xml:space="preserve">Un segundo nivel de análisis aborda la estructura temporal de la noche como un todo. Las series temporales fisiológicas del sueño exhiben regularidades a múltiples escalas temporales simultáneas: a escala de segundos, la reactividad inmediata ante un evento obstructivo; a escala de minutos, la dinámica de recuperación y el contexto local de ocurrencia de los eventos; a escala de decenas de minutos, la organización global de la noche en fases de actividad fisiológica diferenciada. Ninguna de estas escalas captura por sí sola la riqueza de la señal: el análisis multiescala simultáneo permite representar la noche como una trayectoria fisiológica que evoluciona a distintas frecuencias. Este marco de análisis es conceptualmente análogo al que se aplica en otras señales biomédicas complejas, como la variabilidad de la frecuencia cardíaca en monitoreo Holter o los patrones de actividad-reposo en actigrafía de larga duración.</w:t>
      </w:r>
    </w:p>
    <w:p>
      <w:pPr>
        <w:spacing w:after="160" w:before="0" w:line="240" w:lineRule="auto"/>
        <w:ind w:firstLine="720"/>
        <w:jc w:val="both"/>
      </w:pPr>
      <w:r>
        <w:rPr>
          <w:rFonts w:ascii="Arial" w:cs="Arial" w:eastAsia="Arial" w:hAnsi="Arial"/>
          <w:sz w:val="22"/>
          <w:szCs w:val="22"/>
        </w:rPr>
        <w:t xml:space="preserve">Una estrategia para representar la organización global de series temporales fisiológicas complejas es la construcción de sistemas de estados dinámicos: conjuntos finitos de estados latentes que capturan configuraciones recurrentes de las variables observadas, junto con reglas de transición entre ellos. Cada estado define un perfil típico de la señal multivariada en una ventana temporal dada; los estados se asignan a ventanas sucesivas produciendo una trayectoria de estados discreta que describe la evolución temporal del sistema. Este enfoque ha sido aplicado en el análisis de series temporales de variabilidad cardíaca, actividad cerebral y actigrafía de sueño, permitiendo identificar estructuras organizativas latentes que los análisis de ventana fija no detectan. La definición de los estados mediante agrupamiento no supervisado permite que emerjan de los datos mismos, sin imponer categorías clínicas a priori.</w:t>
      </w:r>
    </w:p>
    <w:p>
      <w:pPr>
        <w:pStyle w:val="Heading2"/>
        <w:spacing w:after="160" w:before="380"/>
      </w:pPr>
      <w:r>
        <w:rPr>
          <w:rFonts w:ascii="Arial" w:cs="Arial" w:eastAsia="Arial" w:hAnsi="Arial"/>
          <w:b/>
          <w:bCs/>
          <w:color w:val="1E3A5F"/>
          <w:sz w:val="25"/>
          <w:szCs w:val="25"/>
        </w:rPr>
        <w:t xml:space="preserve">2.4 Aprendizaje automático en señales biomédicas</w:t>
      </w:r>
    </w:p>
    <w:p>
      <w:pPr>
        <w:spacing w:after="160" w:before="0" w:line="240" w:lineRule="auto"/>
        <w:ind w:firstLine="720"/>
        <w:jc w:val="both"/>
      </w:pPr>
      <w:r>
        <w:rPr>
          <w:rFonts w:ascii="Arial" w:cs="Arial" w:eastAsia="Arial" w:hAnsi="Arial"/>
          <w:sz w:val="22"/>
          <w:szCs w:val="22"/>
        </w:rPr>
        <w:t xml:space="preserve">El aprendizaje automático ofrece un conjunto de herramientas metodológicas especialmente adecuado para el análisis de señales biomédicas complejas, donde la relación entre las variables observadas y los fenómenos de interés es no lineal, multidimensional y difícil de especificar a priori. En el contexto de las señales fisiológicas del sueño, el aprendizaje automático puede emplearse en distintos niveles del análisis: para reducir la dimensionalidad de la señal y visualizar su estructura latente, para identificar agrupamientos naturales en el espacio de características, para predecir variables clínicas relevantes a partir de representaciones derivadas de la señal, y para interpretar qué variables contribuyen más a las predicciones. La distinción entre métodos no supervisados —que buscan estructura en los datos sin etiquetas— y supervisados —que aprenden a predecir una variable objetivo— es especialmente relevante en este contexto: las señales domiciliarias generalmente no cuentan con etiquetado evento a evento, lo que hace al aprendizaje no supervisado particularmente valioso en las etapas de caracterización.</w:t>
      </w:r>
    </w:p>
    <w:p>
      <w:pPr>
        <w:spacing w:after="160" w:before="0" w:line="240" w:lineRule="auto"/>
        <w:ind w:firstLine="720"/>
        <w:jc w:val="both"/>
      </w:pPr>
      <w:r>
        <w:rPr>
          <w:rFonts w:ascii="Arial" w:cs="Arial" w:eastAsia="Arial" w:hAnsi="Arial"/>
          <w:sz w:val="22"/>
          <w:szCs w:val="22"/>
        </w:rPr>
        <w:t xml:space="preserve">El Análisis de Componentes Principales (PCA) es una técnica de reducción de dimensionalidad lineal que transforma un conjunto de variables correladas en un nuevo conjunto de variables no correladas —las componentes principales— ordenadas por la fracción de varianza total que explican. Su utilidad en el análisis de señales biomédicas es doble: por un lado, permite comprimir la representación de objetos de alta dimensión —como curvas completas de eventos o vectores de características de ventanas temporales— en un espacio de menor dimensión que preserva la mayor parte de la variabilidad informativa; por otro, facilita la visualización de la estructura del conjunto de datos en dos o tres dimensiones, revelando agrupamientos naturales, gradientes continuos o estructuras de variabilidad latente. En el contexto del fenotipado morfológico, PCA actúa típicamente como paso previo al agrupamiento, mejorando la separabilidad de los grupos en el espacio reducido y atenuando el efecto del ruido de alta frecuencia en la señal.</w:t>
      </w:r>
    </w:p>
    <w:p>
      <w:pPr>
        <w:spacing w:after="160" w:before="0" w:line="240" w:lineRule="auto"/>
        <w:ind w:firstLine="720"/>
        <w:jc w:val="both"/>
      </w:pPr>
      <w:r>
        <w:rPr>
          <w:rFonts w:ascii="Arial" w:cs="Arial" w:eastAsia="Arial" w:hAnsi="Arial"/>
          <w:sz w:val="22"/>
          <w:szCs w:val="22"/>
        </w:rPr>
        <w:t xml:space="preserve">El agrupamiento K-medias (K-means) es un algoritmo de aprendizaje no supervisado que particiona un conjunto de datos en K grupos cuyos miembros son más similares entre sí que a los miembros de otros grupos, minimizando la suma de distancias euclídeas al centroide de cada grupo. Su aplicación en el análisis de señales biomédicas permite identificar familias de observaciones con perfiles similares sin imponer etiquetas externas: el algoritmo descubre la estructura de agrupamiento que existe en los datos. La selección del número óptimo de grupos K es una decisión metodológica relevante que puede guiarse por criterios cuantitativos como el análisis de silueta o el índice de Calinski-Harabasz, o por consideraciones de interpretabilidad. Una limitación conocida del algoritmo es su sensibilidad a la inicialización y a la escala de las variables, lo que requiere estandarización previa y múltiples inicializaciones para garantizar la convergencia a soluciones estables y reproducibles.</w:t>
      </w:r>
    </w:p>
    <w:p>
      <w:pPr>
        <w:spacing w:after="160" w:before="0" w:line="240" w:lineRule="auto"/>
        <w:ind w:firstLine="720"/>
        <w:jc w:val="both"/>
      </w:pPr>
      <w:r>
        <w:rPr>
          <w:rFonts w:ascii="Arial" w:cs="Arial" w:eastAsia="Arial" w:hAnsi="Arial"/>
          <w:sz w:val="22"/>
          <w:szCs w:val="22"/>
        </w:rPr>
        <w:t xml:space="preserve">Entre los modelos de aprendizaje supervisado más utilizados en aplicaciones de señales biomédicas se encuentran la regresión logística regularizada, los bosques aleatorios y el gradiente potenciado. La regresión logística regularizada produce modelos lineales interpretables y ofrece probabilidades calibradas, siendo especialmente adecuada cuando la relación entre variables predictoras y variable objetivo es aproximadamente lineal en el espacio de representación. Los bosques aleatorios combinan múltiples árboles de decisión entrenados sobre submuestras del conjunto de datos, produciendo modelos robustos que capturan relaciones no lineales y generan estimaciones de importancia de variables. El gradiente potenciado, en implementaciones eficientes como LightGBM (Ke et al., 2017), construye árboles de forma secuencial corrigiendo en cada iteración los errores del modelo anterior, y produce habitualmente resultados competitivos en benchmarks de datos tabulares estructurados. La elección entre estos modelos depende del tamaño del conjunto de datos, la presencia de relaciones no lineales, la necesidad de interpretabilidad y los requisitos de calibración de probabilidades.</w:t>
      </w:r>
    </w:p>
    <w:p>
      <w:pPr>
        <w:spacing w:after="160" w:before="0" w:line="240" w:lineRule="auto"/>
        <w:ind w:firstLine="720"/>
        <w:jc w:val="both"/>
      </w:pPr>
      <w:r>
        <w:rPr>
          <w:rFonts w:ascii="Arial" w:cs="Arial" w:eastAsia="Arial" w:hAnsi="Arial"/>
          <w:sz w:val="22"/>
          <w:szCs w:val="22"/>
        </w:rPr>
        <w:t xml:space="preserve">La validación de modelos predictivos en conjuntos de datos con estructura longitudinal agrupada —como registros de múltiples noches de múltiples pacientes— requiere esquemas de validación que respeten la independencia entre grupos. La validación cruzada estándar por pliegues aleatorios puede producir estimaciones optimistas del rendimiento cuando observaciones del mismo grupo aparecen simultáneamente en el conjunto de entrenamiento y en el de prueba: el modelo aprende características idiosincrásicas del individuo que no generalizan a nuevos pacientes. La validación cruzada dejando un paciente fuera (Leave-One-Patient-Out, LOPO) resuelve esta limitación evaluando el modelo sobre cada paciente usando exclusivamente los datos de los demás para entrenamiento, lo que proporciona una estimación conservadora y realista de la capacidad de generalización. Este esquema resulta especialmente relevante cuando el tamaño de la cohorte es reducido, ya que la diferencia entre la estimación LOPO y la estimación por pliegues aleatorios puede ser sustancial y determina la validez de las conclusiones predictivas.</w:t>
      </w:r>
    </w:p>
    <w:p>
      <w:pPr>
        <w:spacing w:after="160" w:before="0" w:line="240" w:lineRule="auto"/>
        <w:ind w:firstLine="720"/>
        <w:jc w:val="both"/>
      </w:pPr>
      <w:r>
        <w:rPr>
          <w:rFonts w:ascii="Arial" w:cs="Arial" w:eastAsia="Arial" w:hAnsi="Arial"/>
          <w:sz w:val="22"/>
          <w:szCs w:val="22"/>
        </w:rPr>
        <w:t xml:space="preserve">La interpretabilidad de los modelos de aprendizaje automático es una dimensión especialmente relevante en aplicaciones clínicas, donde la capacidad de explicar una predicción individual puede ser tan importante como su exactitud. Los valores de Shapley (SHAP) ofrecen un marco teóricamente fundado para la atribución de la contribución de cada variable a cada predicción individual, basado en el concepto matemático de valor de Shapley de la teoría de juegos cooperativos (Lundberg &amp; Lee, 2017). Para cada predicción, SHAP calcula cuánto contribuye cada variable, en qué dirección y con qué magnitud, permitiendo tanto el análisis global de importancia de variables como la explicación de casos individuales. En el contexto del análisis de señales biomédicas, los valores SHAP permiten identificar qué características morfológicas, dinámicas o fisiológicas son más relevantes para la predicción de eventos o estados de riesgo en cada paciente, contribuyendo a la construcción de modelos que pueden ser sometidos al escrutinio clínico y facilitan el diálogo entre el modelo predictivo y el profesional que lo utiliza.</w:t>
      </w:r>
    </w:p>
    <w:p>
      <w:pPr>
        <w:spacing w:after="0" w:before="160"/>
      </w:pPr>
      <w:r>
        <w:t xml:space="preserve"/>
      </w:r>
    </w:p>
    <w:p>
      <w:pPr>
        <w:spacing w:after="160" w:before="0" w:line="240" w:lineRule="auto"/>
        <w:ind w:firstLine="720"/>
        <w:jc w:val="both"/>
      </w:pPr>
      <w:r>
        <w:rPr>
          <w:rFonts w:ascii="Arial" w:cs="Arial" w:eastAsia="Arial" w:hAnsi="Arial"/>
          <w:sz w:val="22"/>
          <w:szCs w:val="22"/>
        </w:rPr>
        <w:t xml:space="preserve">El marco conceptual revisado en este capítulo —fisiopatología del SAOS, características del monitoreo domiciliario con oximetría portátil, propiedades de las series temporales fisiológicas nocturnas y fundamentos del aprendizaje automático aplicado a señales biomédicas— establece la base conceptual sobre la que se construye el diseño metodológico del proyecto. El capítulo siguiente describe los materiales y métodos: la cohorte de pacientes, el diseño del pipeline PAC_v3 con su arquitectura de procesamiento y las decisiones de control de calidad de señal que dan forma al conjunto de datos analítico utilizado a lo largo del trabajo.</w:t>
      </w:r>
    </w:p>
    <w:p>
      <w:pPr>
        <w:spacing w:after="0" w:before="200"/>
      </w:pPr>
      <w:r>
        <w:t xml:space="preserve"/>
      </w:r>
    </w:p>
    <w:p>
      <w:pPr>
        <w:pStyle w:val="Heading2"/>
        <w:spacing w:after="160" w:before="380"/>
      </w:pPr>
      <w:r>
        <w:rPr>
          <w:rFonts w:ascii="Arial" w:cs="Arial" w:eastAsia="Arial" w:hAnsi="Arial"/>
          <w:b/>
          <w:bCs/>
          <w:color w:val="1E3A5F"/>
          <w:sz w:val="25"/>
          <w:szCs w:val="25"/>
        </w:rPr>
        <w:t xml:space="preserve">Referencias</w:t>
      </w:r>
    </w:p>
    <w:p>
      <w:pPr>
        <w:spacing w:after="140" w:before="0" w:line="240" w:lineRule="auto"/>
        <w:ind w:left="720" w:hanging="720"/>
        <w:jc w:val="both"/>
      </w:pPr>
      <w:r>
        <w:rPr>
          <w:rFonts w:ascii="Arial" w:cs="Arial" w:eastAsia="Arial" w:hAnsi="Arial"/>
          <w:sz w:val="21"/>
          <w:szCs w:val="21"/>
        </w:rPr>
        <w:t xml:space="preserve">Azarbarzin, A., Sands, S. A., Stone, K. L., Taranto-Montemurro, L., Messineo, L., Terrill, P. I., Ancoli-Israel, S., Ensrud, K., Purcell, S., White, D. P., Redline, S., &amp; Wellman, A. (2019). The hypoxic burden of sleep apnoea predicts cardiovascular disease-related mortality: the Osteoporotic Fractures in Men Study and the Sleep Heart Health Study. </w:t>
      </w:r>
      <w:r>
        <w:rPr>
          <w:rFonts w:ascii="Arial" w:cs="Arial" w:eastAsia="Arial" w:hAnsi="Arial"/>
          <w:i/>
          <w:iCs/>
          <w:sz w:val="21"/>
          <w:szCs w:val="21"/>
        </w:rPr>
        <w:t xml:space="preserve">European Heart Journal</w:t>
      </w:r>
      <w:r>
        <w:rPr>
          <w:rFonts w:ascii="Arial" w:cs="Arial" w:eastAsia="Arial" w:hAnsi="Arial"/>
          <w:sz w:val="21"/>
          <w:szCs w:val="21"/>
        </w:rPr>
        <w:t xml:space="preserve">, 40(14), 1149–1157. https://doi.org/10.1093/eurheartj/ehy624</w:t>
      </w:r>
    </w:p>
    <w:p>
      <w:pPr>
        <w:spacing w:after="140" w:before="0" w:line="240" w:lineRule="auto"/>
        <w:ind w:left="720" w:hanging="720"/>
        <w:jc w:val="both"/>
      </w:pPr>
      <w:r>
        <w:rPr>
          <w:rFonts w:ascii="Arial" w:cs="Arial" w:eastAsia="Arial" w:hAnsi="Arial"/>
          <w:sz w:val="21"/>
          <w:szCs w:val="21"/>
        </w:rPr>
        <w:t xml:space="preserve">Bailly, S., Destors, M., Grillet, Y., Richard, P., Stach, B., Vivodtzev, I., Timsit, J.-F., Lévy, P., Tamisier, R., &amp; Pépin, J.-L. (2016). Obstructive sleep apnea: a cluster analysis at time of diagnosis. </w:t>
      </w:r>
      <w:r>
        <w:rPr>
          <w:rFonts w:ascii="Arial" w:cs="Arial" w:eastAsia="Arial" w:hAnsi="Arial"/>
          <w:i/>
          <w:iCs/>
          <w:sz w:val="21"/>
          <w:szCs w:val="21"/>
        </w:rPr>
        <w:t xml:space="preserve">PLoS One</w:t>
      </w:r>
      <w:r>
        <w:rPr>
          <w:rFonts w:ascii="Arial" w:cs="Arial" w:eastAsia="Arial" w:hAnsi="Arial"/>
          <w:sz w:val="21"/>
          <w:szCs w:val="21"/>
        </w:rPr>
        <w:t xml:space="preserve">, 11(6), e0157318. https://doi.org/10.1371/journal.pone.0157318</w:t>
      </w:r>
    </w:p>
    <w:p>
      <w:pPr>
        <w:spacing w:after="140" w:before="0" w:line="240" w:lineRule="auto"/>
        <w:ind w:left="720" w:hanging="720"/>
        <w:jc w:val="both"/>
      </w:pPr>
      <w:r>
        <w:rPr>
          <w:rFonts w:ascii="Arial" w:cs="Arial" w:eastAsia="Arial" w:hAnsi="Arial"/>
          <w:sz w:val="21"/>
          <w:szCs w:val="21"/>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analysis. </w:t>
      </w:r>
      <w:r>
        <w:rPr>
          <w:rFonts w:ascii="Arial" w:cs="Arial" w:eastAsia="Arial" w:hAnsi="Arial"/>
          <w:i/>
          <w:iCs/>
          <w:sz w:val="21"/>
          <w:szCs w:val="21"/>
        </w:rPr>
        <w:t xml:space="preserve">The Lancet Respiratory Medicine</w:t>
      </w:r>
      <w:r>
        <w:rPr>
          <w:rFonts w:ascii="Arial" w:cs="Arial" w:eastAsia="Arial" w:hAnsi="Arial"/>
          <w:sz w:val="21"/>
          <w:szCs w:val="21"/>
        </w:rPr>
        <w:t xml:space="preserve">, 7(8), 687–698. https://doi.org/10.1016/S2213-2600(19)30198-5</w:t>
      </w:r>
    </w:p>
    <w:p>
      <w:pPr>
        <w:spacing w:after="140" w:before="0" w:line="240" w:lineRule="auto"/>
        <w:ind w:left="720" w:hanging="720"/>
        <w:jc w:val="both"/>
      </w:pPr>
      <w:r>
        <w:rPr>
          <w:rFonts w:ascii="Arial" w:cs="Arial" w:eastAsia="Arial" w:hAnsi="Arial"/>
          <w:sz w:val="21"/>
          <w:szCs w:val="21"/>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8(5), 597–619. https://doi.org/10.5664/jcsm.2172</w:t>
      </w:r>
    </w:p>
    <w:p>
      <w:pPr>
        <w:spacing w:after="140" w:before="0" w:line="240" w:lineRule="auto"/>
        <w:ind w:left="720" w:hanging="720"/>
        <w:jc w:val="both"/>
      </w:pPr>
      <w:r>
        <w:rPr>
          <w:rFonts w:ascii="Arial" w:cs="Arial" w:eastAsia="Arial" w:hAnsi="Arial"/>
          <w:sz w:val="21"/>
          <w:szCs w:val="21"/>
        </w:rPr>
        <w:t xml:space="preserve">Bittencourt, L. R. A., Suchecki, D., Tufik, S., Peres, C., Togeiro, S. M., Bagnato, M. C., &amp; Nery, L. E. (2001). The variability of the apnoea-hypopnoea index. </w:t>
      </w:r>
      <w:r>
        <w:rPr>
          <w:rFonts w:ascii="Arial" w:cs="Arial" w:eastAsia="Arial" w:hAnsi="Arial"/>
          <w:i/>
          <w:iCs/>
          <w:sz w:val="21"/>
          <w:szCs w:val="21"/>
        </w:rPr>
        <w:t xml:space="preserve">Journal of Sleep Research</w:t>
      </w:r>
      <w:r>
        <w:rPr>
          <w:rFonts w:ascii="Arial" w:cs="Arial" w:eastAsia="Arial" w:hAnsi="Arial"/>
          <w:sz w:val="21"/>
          <w:szCs w:val="21"/>
        </w:rPr>
        <w:t xml:space="preserve">, 10(3), 245–251. https://doi.org/10.1046/j.1365-2869.2001.00255.x</w:t>
      </w:r>
    </w:p>
    <w:p>
      <w:pPr>
        <w:spacing w:after="140" w:before="0" w:line="240" w:lineRule="auto"/>
        <w:ind w:left="720" w:hanging="720"/>
        <w:jc w:val="both"/>
      </w:pPr>
      <w:r>
        <w:rPr>
          <w:rFonts w:ascii="Arial" w:cs="Arial" w:eastAsia="Arial" w:hAnsi="Arial"/>
          <w:sz w:val="21"/>
          <w:szCs w:val="21"/>
        </w:rPr>
        <w:t xml:space="preserve">Collop, N. A., Anderson, W. M., Boehlecke, B., Claman, D., Goldberg, R., Gottlieb, D. J., Hudgel, D., Sateia, M., &amp; Schwab, R. (2007). Clinical guidelines for the use of unattended portable monitors in the diagnosis of obstructive sleep apnea in adult patients.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3(7), 737–747. https://doi.org/10.5664/jcsm.26999</w:t>
      </w:r>
    </w:p>
    <w:p>
      <w:pPr>
        <w:spacing w:after="140" w:before="0" w:line="240" w:lineRule="auto"/>
        <w:ind w:left="720" w:hanging="720"/>
        <w:jc w:val="both"/>
      </w:pPr>
      <w:r>
        <w:rPr>
          <w:rFonts w:ascii="Arial" w:cs="Arial" w:eastAsia="Arial" w:hAnsi="Arial"/>
          <w:sz w:val="21"/>
          <w:szCs w:val="21"/>
        </w:rPr>
        <w:t xml:space="preserve">Dempsey, J. A., Veasna, P., Morgan, B. J., &amp; O'Donnell, C. P. (2010). Pathophysiology of sleep apnea. </w:t>
      </w:r>
      <w:r>
        <w:rPr>
          <w:rFonts w:ascii="Arial" w:cs="Arial" w:eastAsia="Arial" w:hAnsi="Arial"/>
          <w:i/>
          <w:iCs/>
          <w:sz w:val="21"/>
          <w:szCs w:val="21"/>
        </w:rPr>
        <w:t xml:space="preserve">Physiological Reviews</w:t>
      </w:r>
      <w:r>
        <w:rPr>
          <w:rFonts w:ascii="Arial" w:cs="Arial" w:eastAsia="Arial" w:hAnsi="Arial"/>
          <w:sz w:val="21"/>
          <w:szCs w:val="21"/>
        </w:rPr>
        <w:t xml:space="preserve">, 90(1), 47–112. https://doi.org/10.1152/physrev.00043.2008</w:t>
      </w:r>
    </w:p>
    <w:p>
      <w:pPr>
        <w:spacing w:after="140" w:before="0" w:line="240" w:lineRule="auto"/>
        <w:ind w:left="720" w:hanging="720"/>
        <w:jc w:val="both"/>
      </w:pPr>
      <w:r>
        <w:rPr>
          <w:rFonts w:ascii="Arial" w:cs="Arial" w:eastAsia="Arial" w:hAnsi="Arial"/>
          <w:sz w:val="21"/>
          <w:szCs w:val="21"/>
        </w:rPr>
        <w:t xml:space="preserve">Eckert, D. J., White, D. P., Jordan, A. S., Malhotra, A., &amp; Wellman, A. (2013). Defining phenotypic causes of obstructive sleep apnea: identification of novel therapeutic targets. </w:t>
      </w:r>
      <w:r>
        <w:rPr>
          <w:rFonts w:ascii="Arial" w:cs="Arial" w:eastAsia="Arial" w:hAnsi="Arial"/>
          <w:i/>
          <w:iCs/>
          <w:sz w:val="21"/>
          <w:szCs w:val="21"/>
        </w:rPr>
        <w:t xml:space="preserve">American Journal of Respiratory and Critical Care Medicine</w:t>
      </w:r>
      <w:r>
        <w:rPr>
          <w:rFonts w:ascii="Arial" w:cs="Arial" w:eastAsia="Arial" w:hAnsi="Arial"/>
          <w:sz w:val="21"/>
          <w:szCs w:val="21"/>
        </w:rPr>
        <w:t xml:space="preserve">, 188(8), 996–1004. https://doi.org/10.1164/rccm.201303-0448OC</w:t>
      </w:r>
    </w:p>
    <w:p>
      <w:pPr>
        <w:spacing w:after="140" w:before="0" w:line="240" w:lineRule="auto"/>
        <w:ind w:left="720" w:hanging="720"/>
        <w:jc w:val="both"/>
      </w:pPr>
      <w:r>
        <w:rPr>
          <w:rFonts w:ascii="Arial" w:cs="Arial" w:eastAsia="Arial" w:hAnsi="Arial"/>
          <w:sz w:val="21"/>
          <w:szCs w:val="21"/>
        </w:rPr>
        <w:t xml:space="preserve">Kapur, V. K., Auckley, D. H., Chowdhuri, S., Kuhlmann, D. C., Mehra, R., Ramar, K., &amp; Harrod, C. G. (2017). Clinical practice guideline for diagnostic testing for adult obstructive sleep apnea: an American Academy of Sleep Medicine clinical practice guideline.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13(3), 479–504. https://doi.org/10.5664/jcsm.6506</w:t>
      </w:r>
    </w:p>
    <w:p>
      <w:pPr>
        <w:spacing w:after="140" w:before="0" w:line="240" w:lineRule="auto"/>
        <w:ind w:left="720" w:hanging="720"/>
        <w:jc w:val="both"/>
      </w:pPr>
      <w:r>
        <w:rPr>
          <w:rFonts w:ascii="Arial" w:cs="Arial" w:eastAsia="Arial" w:hAnsi="Arial"/>
          <w:sz w:val="21"/>
          <w:szCs w:val="21"/>
        </w:rPr>
        <w:t xml:space="preserve">Ke, G., Meng, Q., Finley, T., Wang, T., Chen, W., Ma, W., Ye, Q., &amp; Liu, T.-Y. (2017). LightGBM: A highly efficient gradient boosting decision tree. </w:t>
      </w:r>
      <w:r>
        <w:rPr>
          <w:rFonts w:ascii="Arial" w:cs="Arial" w:eastAsia="Arial" w:hAnsi="Arial"/>
          <w:i/>
          <w:iCs/>
          <w:sz w:val="21"/>
          <w:szCs w:val="21"/>
        </w:rPr>
        <w:t xml:space="preserve">Advances in Neural Information Processing Systems</w:t>
      </w:r>
      <w:r>
        <w:rPr>
          <w:rFonts w:ascii="Arial" w:cs="Arial" w:eastAsia="Arial" w:hAnsi="Arial"/>
          <w:sz w:val="21"/>
          <w:szCs w:val="21"/>
        </w:rPr>
        <w:t xml:space="preserve">, 30, 3146–3154.</w:t>
      </w:r>
    </w:p>
    <w:p>
      <w:pPr>
        <w:spacing w:after="140" w:before="0" w:line="240" w:lineRule="auto"/>
        <w:ind w:left="720" w:hanging="720"/>
        <w:jc w:val="both"/>
      </w:pPr>
      <w:r>
        <w:rPr>
          <w:rFonts w:ascii="Arial" w:cs="Arial" w:eastAsia="Arial" w:hAnsi="Arial"/>
          <w:sz w:val="21"/>
          <w:szCs w:val="21"/>
        </w:rPr>
        <w:t xml:space="preserve">Levendowski, D. J., Zack, N., Rao, S., Wong, K., Blackwell, T., Cavazzos, J., Hewes, R. T., &amp; Westbrook, P. (2009). Assessment of the test-retest reliability of laboratory polysomnography. </w:t>
      </w:r>
      <w:r>
        <w:rPr>
          <w:rFonts w:ascii="Arial" w:cs="Arial" w:eastAsia="Arial" w:hAnsi="Arial"/>
          <w:i/>
          <w:iCs/>
          <w:sz w:val="21"/>
          <w:szCs w:val="21"/>
        </w:rPr>
        <w:t xml:space="preserve">Sleep and Breathing</w:t>
      </w:r>
      <w:r>
        <w:rPr>
          <w:rFonts w:ascii="Arial" w:cs="Arial" w:eastAsia="Arial" w:hAnsi="Arial"/>
          <w:sz w:val="21"/>
          <w:szCs w:val="21"/>
        </w:rPr>
        <w:t xml:space="preserve">, 13(2), 163–167. https://doi.org/10.1007/s11325-008-0214-6</w:t>
      </w:r>
    </w:p>
    <w:p>
      <w:pPr>
        <w:spacing w:after="140" w:before="0" w:line="240" w:lineRule="auto"/>
        <w:ind w:left="720" w:hanging="720"/>
        <w:jc w:val="both"/>
      </w:pPr>
      <w:r>
        <w:rPr>
          <w:rFonts w:ascii="Arial" w:cs="Arial" w:eastAsia="Arial" w:hAnsi="Arial"/>
          <w:sz w:val="21"/>
          <w:szCs w:val="21"/>
        </w:rPr>
        <w:t xml:space="preserve">Lundberg, S. M., &amp; Lee, S.-I. (2017). A unified approach to interpreting model predictions. </w:t>
      </w:r>
      <w:r>
        <w:rPr>
          <w:rFonts w:ascii="Arial" w:cs="Arial" w:eastAsia="Arial" w:hAnsi="Arial"/>
          <w:i/>
          <w:iCs/>
          <w:sz w:val="21"/>
          <w:szCs w:val="21"/>
        </w:rPr>
        <w:t xml:space="preserve">Advances in Neural Information Processing Systems</w:t>
      </w:r>
      <w:r>
        <w:rPr>
          <w:rFonts w:ascii="Arial" w:cs="Arial" w:eastAsia="Arial" w:hAnsi="Arial"/>
          <w:sz w:val="21"/>
          <w:szCs w:val="21"/>
        </w:rPr>
        <w:t xml:space="preserve">, 30, 4765–4774.</w:t>
      </w:r>
    </w:p>
    <w:p>
      <w:pPr>
        <w:spacing w:after="140" w:before="0" w:line="240" w:lineRule="auto"/>
        <w:ind w:left="720" w:hanging="720"/>
        <w:jc w:val="both"/>
      </w:pPr>
      <w:r>
        <w:rPr>
          <w:rFonts w:ascii="Arial" w:cs="Arial" w:eastAsia="Arial" w:hAnsi="Arial"/>
          <w:sz w:val="21"/>
          <w:szCs w:val="21"/>
        </w:rPr>
        <w:t xml:space="preserve">Malhotra, A., Ayappa, I., Ayas, N., Collop, N., Hopps, D., Jackson, N., Javaheri, S., Khosla, S., Patel, S. R., Punjabi, N. M., Somers, V. K., Strollo, P. J., Strohl, K. P., Weaver, T. E., &amp; Yaggi, H. K. (2021). Metrics of sleep apnea severity: beyond the apnea-hypopnea index. </w:t>
      </w:r>
      <w:r>
        <w:rPr>
          <w:rFonts w:ascii="Arial" w:cs="Arial" w:eastAsia="Arial" w:hAnsi="Arial"/>
          <w:i/>
          <w:iCs/>
          <w:sz w:val="21"/>
          <w:szCs w:val="21"/>
        </w:rPr>
        <w:t xml:space="preserve">Sleep</w:t>
      </w:r>
      <w:r>
        <w:rPr>
          <w:rFonts w:ascii="Arial" w:cs="Arial" w:eastAsia="Arial" w:hAnsi="Arial"/>
          <w:sz w:val="21"/>
          <w:szCs w:val="21"/>
        </w:rPr>
        <w:t xml:space="preserve">, 44(7), zsab030. https://doi.org/10.1093/sleep/zsab030</w:t>
      </w:r>
    </w:p>
    <w:p>
      <w:pPr>
        <w:spacing w:after="140" w:before="0" w:line="240" w:lineRule="auto"/>
        <w:ind w:left="720" w:hanging="720"/>
        <w:jc w:val="both"/>
      </w:pPr>
      <w:r>
        <w:rPr>
          <w:rFonts w:ascii="Arial" w:cs="Arial" w:eastAsia="Arial" w:hAnsi="Arial"/>
          <w:sz w:val="21"/>
          <w:szCs w:val="21"/>
        </w:rPr>
        <w:t xml:space="preserve">Marin, J. M., Carrizo, S. J., Vicente, E., &amp; Agusti, A. G. N. (2005). Long-term cardiovascular outcomes in men with obstructive sleep apnoea-hypopnoea with or without treatment with continuous positive airway pressure: an observational study. </w:t>
      </w:r>
      <w:r>
        <w:rPr>
          <w:rFonts w:ascii="Arial" w:cs="Arial" w:eastAsia="Arial" w:hAnsi="Arial"/>
          <w:i/>
          <w:iCs/>
          <w:sz w:val="21"/>
          <w:szCs w:val="21"/>
        </w:rPr>
        <w:t xml:space="preserve">The Lancet</w:t>
      </w:r>
      <w:r>
        <w:rPr>
          <w:rFonts w:ascii="Arial" w:cs="Arial" w:eastAsia="Arial" w:hAnsi="Arial"/>
          <w:sz w:val="21"/>
          <w:szCs w:val="21"/>
        </w:rPr>
        <w:t xml:space="preserve">, 365(9464), 1046–1053. https://doi.org/10.1016/S0140-6736(05)71141-7</w:t>
      </w:r>
    </w:p>
    <w:p>
      <w:pPr>
        <w:spacing w:after="140" w:before="0" w:line="240" w:lineRule="auto"/>
        <w:ind w:left="720" w:hanging="720"/>
        <w:jc w:val="both"/>
      </w:pPr>
      <w:r>
        <w:rPr>
          <w:rFonts w:ascii="Arial" w:cs="Arial" w:eastAsia="Arial" w:hAnsi="Arial"/>
          <w:sz w:val="21"/>
          <w:szCs w:val="21"/>
        </w:rPr>
        <w:t xml:space="preserve">Peppard, P. E., Young, T., Barnet, J. H., Palta, M., Hagen, E. W., &amp; Hla, K. M. (2013). Increased prevalence of sleep-disordered breathing in adults. </w:t>
      </w:r>
      <w:r>
        <w:rPr>
          <w:rFonts w:ascii="Arial" w:cs="Arial" w:eastAsia="Arial" w:hAnsi="Arial"/>
          <w:i/>
          <w:iCs/>
          <w:sz w:val="21"/>
          <w:szCs w:val="21"/>
        </w:rPr>
        <w:t xml:space="preserve">American Journal of Epidemiology</w:t>
      </w:r>
      <w:r>
        <w:rPr>
          <w:rFonts w:ascii="Arial" w:cs="Arial" w:eastAsia="Arial" w:hAnsi="Arial"/>
          <w:sz w:val="21"/>
          <w:szCs w:val="21"/>
        </w:rPr>
        <w:t xml:space="preserve">, 177(9), 1006–1014. https://doi.org/10.1093/aje/kws342</w:t>
      </w:r>
    </w:p>
    <w:p>
      <w:pPr>
        <w:spacing w:after="140" w:before="0" w:line="240" w:lineRule="auto"/>
        <w:ind w:left="720" w:hanging="720"/>
        <w:jc w:val="both"/>
      </w:pPr>
      <w:r>
        <w:rPr>
          <w:rFonts w:ascii="Arial" w:cs="Arial" w:eastAsia="Arial" w:hAnsi="Arial"/>
          <w:sz w:val="21"/>
          <w:szCs w:val="21"/>
        </w:rPr>
        <w:t xml:space="preserve">Punjabi, N. M., Caffo, B. S., Goodwin, J. L., Gottlieb, D. J., Newman, A. B., O'Connor, G. T., Rapoport, D. M., Redline, S., Resnick, H. E., Robbins, J. A., Shahar, E., Unruh, M. L., &amp; Samet, J. M. (2009). Sleep-disordered breathing and mortality: a prospective cohort study. </w:t>
      </w:r>
      <w:r>
        <w:rPr>
          <w:rFonts w:ascii="Arial" w:cs="Arial" w:eastAsia="Arial" w:hAnsi="Arial"/>
          <w:i/>
          <w:iCs/>
          <w:sz w:val="21"/>
          <w:szCs w:val="21"/>
        </w:rPr>
        <w:t xml:space="preserve">PLoS Medicine</w:t>
      </w:r>
      <w:r>
        <w:rPr>
          <w:rFonts w:ascii="Arial" w:cs="Arial" w:eastAsia="Arial" w:hAnsi="Arial"/>
          <w:sz w:val="21"/>
          <w:szCs w:val="21"/>
        </w:rPr>
        <w:t xml:space="preserve">, 6(8), e1000132. https://doi.org/10.1371/journal.pmed.1000132</w:t>
      </w:r>
    </w:p>
    <w:p>
      <w:pPr>
        <w:spacing w:after="140" w:before="0" w:line="240" w:lineRule="auto"/>
        <w:ind w:left="720" w:hanging="720"/>
        <w:jc w:val="both"/>
      </w:pPr>
      <w:r>
        <w:rPr>
          <w:rFonts w:ascii="Arial" w:cs="Arial" w:eastAsia="Arial" w:hAnsi="Arial"/>
          <w:sz w:val="21"/>
          <w:szCs w:val="21"/>
        </w:rPr>
        <w:t xml:space="preserve">Shamsuzzaman, A. S. M., Gersh, B. J., &amp; Somers, V. K. (2003). Obstructive sleep apnea: implications for cardiac and vascular disease. </w:t>
      </w:r>
      <w:r>
        <w:rPr>
          <w:rFonts w:ascii="Arial" w:cs="Arial" w:eastAsia="Arial" w:hAnsi="Arial"/>
          <w:i/>
          <w:iCs/>
          <w:sz w:val="21"/>
          <w:szCs w:val="21"/>
        </w:rPr>
        <w:t xml:space="preserve">JAMA</w:t>
      </w:r>
      <w:r>
        <w:rPr>
          <w:rFonts w:ascii="Arial" w:cs="Arial" w:eastAsia="Arial" w:hAnsi="Arial"/>
          <w:sz w:val="21"/>
          <w:szCs w:val="21"/>
        </w:rPr>
        <w:t xml:space="preserve">, 290(14), 1906–1914. https://doi.org/10.1001/jama.290.14.1906</w:t>
      </w:r>
    </w:p>
    <w:p>
      <w:pPr>
        <w:spacing w:after="140" w:before="0" w:line="240" w:lineRule="auto"/>
        <w:ind w:left="720" w:hanging="720"/>
        <w:jc w:val="both"/>
      </w:pPr>
      <w:r>
        <w:rPr>
          <w:rFonts w:ascii="Arial" w:cs="Arial" w:eastAsia="Arial" w:hAnsi="Arial"/>
          <w:sz w:val="21"/>
          <w:szCs w:val="21"/>
        </w:rPr>
        <w:t xml:space="preserve">Somers, V. K., Dyken, M. E., Mark, A. L., &amp; Abboud, F. M. (1993). Sympathetic-nerve activity during sleep in normal subjects. </w:t>
      </w:r>
      <w:r>
        <w:rPr>
          <w:rFonts w:ascii="Arial" w:cs="Arial" w:eastAsia="Arial" w:hAnsi="Arial"/>
          <w:i/>
          <w:iCs/>
          <w:sz w:val="21"/>
          <w:szCs w:val="21"/>
        </w:rPr>
        <w:t xml:space="preserve">New England Journal of Medicine</w:t>
      </w:r>
      <w:r>
        <w:rPr>
          <w:rFonts w:ascii="Arial" w:cs="Arial" w:eastAsia="Arial" w:hAnsi="Arial"/>
          <w:sz w:val="21"/>
          <w:szCs w:val="21"/>
        </w:rPr>
        <w:t xml:space="preserve">, 328(5), 303–307. https://doi.org/10.1056/NEJM199302043280502</w:t>
      </w:r>
    </w:p>
    <w:p>
      <w:pPr>
        <w:spacing w:after="140" w:before="0" w:line="240" w:lineRule="auto"/>
        <w:ind w:left="720" w:hanging="720"/>
        <w:jc w:val="both"/>
      </w:pPr>
      <w:r>
        <w:rPr>
          <w:rFonts w:ascii="Arial" w:cs="Arial" w:eastAsia="Arial" w:hAnsi="Arial"/>
          <w:sz w:val="21"/>
          <w:szCs w:val="21"/>
        </w:rPr>
        <w:t xml:space="preserve">Ye, L., Pien, G. W., Ratcliffe, S. J., Björnsdóttir, E., Arnardottir, E. S., Pack, A. I., Benediktsdóttir, B., &amp; Gislason, T. (2014). The different clinical faces of obstructive sleep apnoea: a cluster analysis. </w:t>
      </w:r>
      <w:r>
        <w:rPr>
          <w:rFonts w:ascii="Arial" w:cs="Arial" w:eastAsia="Arial" w:hAnsi="Arial"/>
          <w:i/>
          <w:iCs/>
          <w:sz w:val="21"/>
          <w:szCs w:val="21"/>
        </w:rPr>
        <w:t xml:space="preserve">European Respiratory Journal</w:t>
      </w:r>
      <w:r>
        <w:rPr>
          <w:rFonts w:ascii="Arial" w:cs="Arial" w:eastAsia="Arial" w:hAnsi="Arial"/>
          <w:sz w:val="21"/>
          <w:szCs w:val="21"/>
        </w:rPr>
        <w:t xml:space="preserve">, 44(6), 1600–1607. https://doi.org/10.1183/09031936.00032314</w:t>
      </w:r>
    </w:p>
    <w:p>
      <w:pPr>
        <w:spacing w:after="140" w:before="0" w:line="240" w:lineRule="auto"/>
        <w:ind w:left="720" w:hanging="720"/>
        <w:jc w:val="both"/>
      </w:pPr>
      <w:r>
        <w:rPr>
          <w:rFonts w:ascii="Arial" w:cs="Arial" w:eastAsia="Arial" w:hAnsi="Arial"/>
          <w:sz w:val="21"/>
          <w:szCs w:val="21"/>
        </w:rPr>
        <w:t xml:space="preserve">Yoon, H., &amp; Choi, S. H. (2023). Technologies for sleep monitoring at home: wearables and nearables. </w:t>
      </w:r>
      <w:r>
        <w:rPr>
          <w:rFonts w:ascii="Arial" w:cs="Arial" w:eastAsia="Arial" w:hAnsi="Arial"/>
          <w:i/>
          <w:iCs/>
          <w:sz w:val="21"/>
          <w:szCs w:val="21"/>
        </w:rPr>
        <w:t xml:space="preserve">Biomedical Engineering Letters</w:t>
      </w:r>
      <w:r>
        <w:rPr>
          <w:rFonts w:ascii="Arial" w:cs="Arial" w:eastAsia="Arial" w:hAnsi="Arial"/>
          <w:sz w:val="21"/>
          <w:szCs w:val="21"/>
        </w:rPr>
        <w:t xml:space="preserve">, 13(3), 313–327. https://doi.org/10.1007/s13534-023-00305-8</w:t>
      </w:r>
    </w:p>
    <w:p>
      <w:pPr>
        <w:spacing w:after="140" w:before="0" w:line="240" w:lineRule="auto"/>
        <w:ind w:left="720" w:hanging="720"/>
        <w:jc w:val="both"/>
      </w:pPr>
      <w:r>
        <w:rPr>
          <w:rFonts w:ascii="Arial" w:cs="Arial" w:eastAsia="Arial" w:hAnsi="Arial"/>
          <w:sz w:val="21"/>
          <w:szCs w:val="21"/>
        </w:rPr>
        <w:t xml:space="preserve">Young, T., Palta, M., Dempsey, J., Skatrud, J., Weber, S., &amp; Badr, S. (1993). The occurrence of sleep-disordered breathing among middle-aged adults. </w:t>
      </w:r>
      <w:r>
        <w:rPr>
          <w:rFonts w:ascii="Arial" w:cs="Arial" w:eastAsia="Arial" w:hAnsi="Arial"/>
          <w:i/>
          <w:iCs/>
          <w:sz w:val="21"/>
          <w:szCs w:val="21"/>
        </w:rPr>
        <w:t xml:space="preserve">New England Journal of Medicine</w:t>
      </w:r>
      <w:r>
        <w:rPr>
          <w:rFonts w:ascii="Arial" w:cs="Arial" w:eastAsia="Arial" w:hAnsi="Arial"/>
          <w:sz w:val="21"/>
          <w:szCs w:val="21"/>
        </w:rPr>
        <w:t xml:space="preserve">, 328(17), 1230–1235. https://doi.org/10.1056/NEJM199304293281704</w:t>
      </w:r>
    </w:p>
    <w:p>
      <w:pPr>
        <w:spacing w:after="140" w:before="0" w:line="240" w:lineRule="auto"/>
        <w:ind w:left="720" w:hanging="720"/>
        <w:jc w:val="both"/>
      </w:pPr>
      <w:r>
        <w:rPr>
          <w:rFonts w:ascii="Arial" w:cs="Arial" w:eastAsia="Arial" w:hAnsi="Arial"/>
          <w:sz w:val="21"/>
          <w:szCs w:val="21"/>
        </w:rPr>
        <w:t xml:space="preserve">Zinchuk, A. V., &amp; Yaggi, H. K. (2020). Phenotypic subtypes of OSA: a challenge and opportunity for precision medicine. </w:t>
      </w:r>
      <w:r>
        <w:rPr>
          <w:rFonts w:ascii="Arial" w:cs="Arial" w:eastAsia="Arial" w:hAnsi="Arial"/>
          <w:i/>
          <w:iCs/>
          <w:sz w:val="21"/>
          <w:szCs w:val="21"/>
        </w:rPr>
        <w:t xml:space="preserve">Chest</w:t>
      </w:r>
      <w:r>
        <w:rPr>
          <w:rFonts w:ascii="Arial" w:cs="Arial" w:eastAsia="Arial" w:hAnsi="Arial"/>
          <w:sz w:val="21"/>
          <w:szCs w:val="21"/>
        </w:rPr>
        <w:t xml:space="preserve">, 157(2), 403–420. https://doi.org/10.1016/j.chest.2019.09.002</w:t>
      </w:r>
    </w:p>
    <w:p>
      <w:pPr>
        <w:spacing w:after="0" w:before="200"/>
      </w:pPr>
      <w:r>
        <w:t xml:space="preserve"/>
      </w:r>
    </w:p>
    <w:p>
      <w:pPr>
        <w:pBdr>
          <w:top w:val="single" w:color="D1D5DB" w:sz="4"/>
        </w:pBdr>
        <w:spacing w:after="80" w:before="320"/>
        <w:jc w:val="right"/>
      </w:pPr>
      <w:r>
        <w:rPr>
          <w:rFonts w:ascii="Arial" w:cs="Arial" w:eastAsia="Arial" w:hAnsi="Arial"/>
          <w:i/>
          <w:iCs/>
          <w:color w:val="6B7280"/>
          <w:sz w:val="18"/>
          <w:szCs w:val="18"/>
        </w:rPr>
        <w:t xml:space="preserve">Continúa en Capítulo 3 — Materiales y Métodos</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120"/>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pBdr>
      <w:spacing w:after="120" w:before="0"/>
    </w:pPr>
    <w:r>
      <w:rPr>
        <w:rFonts w:ascii="Arial" w:cs="Arial" w:eastAsia="Arial" w:hAnsi="Arial"/>
        <w:color w:val="6B7280"/>
        <w:sz w:val="18"/>
        <w:szCs w:val="18"/>
      </w:rPr>
      <w:t xml:space="preserve">Proyecto APNEA · Tesis de Maestría</w:t>
    </w:r>
    <w:r>
      <w:rPr>
        <w:rFonts w:ascii="Arial" w:cs="Arial" w:eastAsia="Arial" w:hAnsi="Arial"/>
        <w:i/>
        <w:iCs/>
        <w:color w:val="6B7280"/>
        <w:sz w:val="18"/>
        <w:szCs w:val="18"/>
      </w:rPr>
      <w:t xml:space="preserve">        Capítulo 2 — Marco Teórico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30"/>
      <w:szCs w:val="30"/>
    </w:rPr>
  </w:style>
  <w:style w:type="paragraph" w:styleId="Heading2">
    <w:name w:val="Heading 2"/>
    <w:basedOn w:val="Normal"/>
    <w:next w:val="Normal"/>
    <w:qFormat/>
    <w:pPr>
      <w:spacing w:after="160" w:before="380"/>
      <w:outlineLvl w:val="1"/>
    </w:pPr>
    <w:rPr>
      <w:rFonts w:ascii="Arial" w:cs="Arial" w:eastAsia="Arial" w:hAnsi="Arial"/>
      <w:b/>
      <w:bCs/>
      <w:color w:val="1E3A5F"/>
      <w:sz w:val="25"/>
      <w:szCs w:val="25"/>
    </w:rPr>
  </w:style>
  <w:style w:type="paragraph" w:styleId="Heading3">
    <w:name w:val="Heading 3"/>
    <w:basedOn w:val="Normal"/>
    <w:next w:val="Normal"/>
    <w:qFormat/>
    <w:pPr>
      <w:spacing w:after="100" w:before="2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2026-05-22T00:41:09.698Z</dcterms:created>
  <dcterms:modified xsi:type="dcterms:W3CDTF">2026-05-22T00:41:09.699Z</dcterms:modified>
</cp:coreProperties>
</file>

<file path=docProps/custom.xml><?xml version="1.0" encoding="utf-8"?>
<Properties xmlns="http://schemas.openxmlformats.org/officeDocument/2006/custom-properties" xmlns:vt="http://schemas.openxmlformats.org/officeDocument/2006/docPropsVTypes"/>
</file>