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8319" w14:textId="77777777" w:rsidR="00E17B4B" w:rsidRDefault="00000000">
      <w:pPr>
        <w:spacing w:after="40"/>
      </w:pPr>
      <w:r>
        <w:rPr>
          <w:b/>
          <w:bCs/>
          <w:caps/>
          <w:color w:val="6B7280"/>
          <w:sz w:val="20"/>
          <w:szCs w:val="20"/>
        </w:rPr>
        <w:t>CAPÍTULO 2</w:t>
      </w:r>
    </w:p>
    <w:p w14:paraId="1BF14A99" w14:textId="77777777" w:rsidR="00E17B4B" w:rsidRDefault="00000000">
      <w:pPr>
        <w:spacing w:after="80"/>
      </w:pPr>
      <w:r>
        <w:rPr>
          <w:b/>
          <w:bCs/>
          <w:color w:val="1E3A5F"/>
          <w:sz w:val="36"/>
          <w:szCs w:val="36"/>
        </w:rPr>
        <w:t>Marco Teórico</w:t>
      </w:r>
    </w:p>
    <w:p w14:paraId="12C79472" w14:textId="095B686B" w:rsidR="00E17B4B" w:rsidRDefault="00000000">
      <w:pPr>
        <w:pBdr>
          <w:bottom w:val="single" w:sz="6" w:space="0" w:color="1E3A5F"/>
        </w:pBdr>
        <w:spacing w:after="400"/>
      </w:pPr>
      <w:r>
        <w:rPr>
          <w:i/>
          <w:iCs/>
          <w:color w:val="6B7280"/>
          <w:sz w:val="18"/>
          <w:szCs w:val="18"/>
        </w:rPr>
        <w:t>Versión 0</w:t>
      </w:r>
      <w:r w:rsidR="00F33EC4">
        <w:rPr>
          <w:i/>
          <w:iCs/>
          <w:color w:val="6B7280"/>
          <w:sz w:val="18"/>
          <w:szCs w:val="18"/>
        </w:rPr>
        <w:t>4</w:t>
      </w:r>
      <w:r>
        <w:rPr>
          <w:i/>
          <w:iCs/>
          <w:color w:val="6B7280"/>
          <w:sz w:val="18"/>
          <w:szCs w:val="18"/>
        </w:rPr>
        <w:t xml:space="preserve">  ·  Mayo 2026</w:t>
      </w:r>
    </w:p>
    <w:p w14:paraId="5DC4DA75" w14:textId="587507D8" w:rsidR="00CF3337" w:rsidRPr="00CF3337" w:rsidRDefault="00CF3337" w:rsidP="00CF3337">
      <w:pPr>
        <w:pStyle w:val="p1"/>
        <w:spacing w:line="276" w:lineRule="auto"/>
        <w:jc w:val="both"/>
        <w:rPr>
          <w:rFonts w:ascii="Arial" w:hAnsi="Arial" w:cs="Arial"/>
          <w:sz w:val="22"/>
          <w:szCs w:val="22"/>
        </w:rPr>
      </w:pPr>
      <w:r>
        <w:rPr>
          <w:rFonts w:ascii="Arial" w:hAnsi="Arial" w:cs="Arial"/>
          <w:sz w:val="22"/>
          <w:szCs w:val="22"/>
        </w:rPr>
        <w:tab/>
      </w:r>
      <w:r w:rsidRPr="00CF3337">
        <w:rPr>
          <w:rFonts w:ascii="Arial" w:hAnsi="Arial" w:cs="Arial"/>
          <w:sz w:val="22"/>
          <w:szCs w:val="22"/>
        </w:rPr>
        <w:t>El diseño metodológico del Proyecto APNEA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14:paraId="633D7D48" w14:textId="77777777" w:rsidR="00E17B4B" w:rsidRDefault="00000000">
      <w:pPr>
        <w:pStyle w:val="Ttulo2"/>
      </w:pPr>
      <w:r>
        <w:t>2.1 Síndrome de apnea obstructiva del sueño</w:t>
      </w:r>
    </w:p>
    <w:p w14:paraId="06EF2FD1" w14:textId="240ABD9D" w:rsidR="00CF3337" w:rsidRPr="00CF3337" w:rsidRDefault="00CF3337" w:rsidP="00CF3337">
      <w:pPr>
        <w:pStyle w:val="p1"/>
        <w:spacing w:line="276" w:lineRule="auto"/>
        <w:jc w:val="both"/>
        <w:rPr>
          <w:rFonts w:ascii="Arial" w:hAnsi="Arial" w:cs="Arial"/>
          <w:sz w:val="22"/>
          <w:szCs w:val="22"/>
        </w:rPr>
      </w:pPr>
      <w:r>
        <w:rPr>
          <w:rFonts w:ascii="Arial" w:hAnsi="Arial" w:cs="Arial"/>
          <w:sz w:val="22"/>
          <w:szCs w:val="22"/>
        </w:rPr>
        <w:tab/>
      </w:r>
      <w:r w:rsidRPr="00CF3337">
        <w:rPr>
          <w:rFonts w:ascii="Arial" w:hAnsi="Arial" w:cs="Arial"/>
          <w:sz w:val="22"/>
          <w:szCs w:val="22"/>
        </w:rPr>
        <w:t>La apnea obstructiva del sueño (SAOS) se caracteriza por episodios recurrentes de colapso total o parcial de la vía aérea superior durante el sueño, con reducción o cese del flujo aéreo pese al esfuerzo ventilatorio. Estos episodios generan desaturaciones de oxígeno, activaciones autonómicas y microdespertares que fragmentan el sueño. Su prevalencia en adultos se estima entre el 15 y el 30%, según los criterios diagnósticos, con tasas mayores en varones de mediana edad, personas con obesidad o hipertensión arterial (Young et al., 1993; Peppard et al., 2013; Benjafield et al., 2019). Pese a ello, el síndrome permanece subdiagnosticado por las dificultades de acceso al estudio de sueño y el bajo reconocimiento clínico de los síntomas.</w:t>
      </w:r>
    </w:p>
    <w:p w14:paraId="40C4EC21" w14:textId="791F177D" w:rsidR="008B06AD" w:rsidRPr="008B06AD" w:rsidRDefault="008B06AD" w:rsidP="008B06AD">
      <w:pPr>
        <w:pStyle w:val="p1"/>
        <w:spacing w:line="276" w:lineRule="auto"/>
        <w:jc w:val="both"/>
        <w:rPr>
          <w:rFonts w:ascii="Arial" w:hAnsi="Arial" w:cs="Arial"/>
          <w:sz w:val="22"/>
          <w:szCs w:val="22"/>
        </w:rPr>
      </w:pPr>
      <w:r>
        <w:rPr>
          <w:rFonts w:ascii="Arial" w:hAnsi="Arial" w:cs="Arial"/>
          <w:sz w:val="22"/>
          <w:szCs w:val="22"/>
        </w:rPr>
        <w:tab/>
      </w:r>
      <w:r w:rsidRPr="008B06AD">
        <w:rPr>
          <w:rFonts w:ascii="Arial" w:hAnsi="Arial" w:cs="Arial"/>
          <w:sz w:val="22"/>
          <w:szCs w:val="22"/>
        </w:rPr>
        <w:t>Desde el punto de vista fisiopatológico, el SAOS resulta de la interacción entre factores anatómicos y neuromusculares que condicionan la apertura de la vía aérea durante el sueño. Cada episodio obstructivo genera hipoxia transitoria, activa el sistema nervioso simpático, eleva la presión arterial y aumenta la frecuencia cardíaca (Somers et al., 1993). La repetición crónica de estos eventos favorece inflamación, disfunción endotelial y remodelado cardiovascular, lo que explica su asociación con hipertensión, arritmias, accidente cerebrovascular y mayor mortalidad cardiovascular (Shamsuzzaman et al., 2003; Marin et al., 2005; Punjabi et al., 2009). Por ello, la activación autonómica asociada a cada evento constituye una dimensión fisiológicamente relevante del análisis del síndrome (Dempsey et al., 2010).</w:t>
      </w:r>
    </w:p>
    <w:p w14:paraId="6C110167" w14:textId="7289C8B1" w:rsidR="00C447FA" w:rsidRPr="00C447FA" w:rsidRDefault="00C447FA" w:rsidP="00C447FA">
      <w:pPr>
        <w:pStyle w:val="p1"/>
        <w:spacing w:line="276" w:lineRule="auto"/>
        <w:jc w:val="both"/>
        <w:rPr>
          <w:rFonts w:ascii="Arial" w:hAnsi="Arial" w:cs="Arial"/>
          <w:sz w:val="22"/>
          <w:szCs w:val="22"/>
        </w:rPr>
      </w:pPr>
      <w:r>
        <w:rPr>
          <w:rFonts w:ascii="Arial" w:hAnsi="Arial" w:cs="Arial"/>
          <w:sz w:val="22"/>
          <w:szCs w:val="22"/>
        </w:rPr>
        <w:tab/>
      </w:r>
      <w:r w:rsidRPr="00C447FA">
        <w:rPr>
          <w:rFonts w:ascii="Arial" w:hAnsi="Arial" w:cs="Arial"/>
          <w:sz w:val="22"/>
          <w:szCs w:val="22"/>
        </w:rPr>
        <w:t xml:space="preserve">Además de los índices clásicos de frecuencia </w:t>
      </w:r>
      <w:r w:rsidR="00636BD1">
        <w:rPr>
          <w:rFonts w:ascii="Arial" w:hAnsi="Arial" w:cs="Arial"/>
          <w:sz w:val="22"/>
          <w:szCs w:val="22"/>
        </w:rPr>
        <w:t>(</w:t>
      </w:r>
      <w:r w:rsidRPr="00C447FA">
        <w:rPr>
          <w:rFonts w:ascii="Arial" w:hAnsi="Arial" w:cs="Arial"/>
          <w:sz w:val="22"/>
          <w:szCs w:val="22"/>
        </w:rPr>
        <w:t>AHI, ODI y T90</w:t>
      </w:r>
      <w:r w:rsidR="00636BD1">
        <w:rPr>
          <w:rFonts w:ascii="Arial" w:hAnsi="Arial" w:cs="Arial"/>
          <w:sz w:val="22"/>
          <w:szCs w:val="22"/>
        </w:rPr>
        <w:t>, entre otros)</w:t>
      </w:r>
      <w:r w:rsidRPr="00C447FA">
        <w:rPr>
          <w:rFonts w:ascii="Arial" w:hAnsi="Arial" w:cs="Arial"/>
          <w:sz w:val="22"/>
          <w:szCs w:val="22"/>
        </w:rPr>
        <w:t xml:space="preserve">, la literatura reciente ha propuesto la </w:t>
      </w:r>
      <w:r w:rsidRPr="00636BD1">
        <w:rPr>
          <w:rFonts w:ascii="Arial" w:hAnsi="Arial" w:cs="Arial"/>
          <w:b/>
          <w:bCs/>
          <w:sz w:val="22"/>
          <w:szCs w:val="22"/>
        </w:rPr>
        <w:t>carga hipóxica</w:t>
      </w:r>
      <w:r w:rsidRPr="00C447FA">
        <w:rPr>
          <w:rFonts w:ascii="Arial" w:hAnsi="Arial" w:cs="Arial"/>
          <w:sz w:val="22"/>
          <w:szCs w:val="22"/>
        </w:rPr>
        <w:t xml:space="preserve"> o </w:t>
      </w:r>
      <w:r w:rsidRPr="00C447FA">
        <w:rPr>
          <w:rStyle w:val="s1"/>
          <w:rFonts w:ascii="Arial" w:hAnsi="Arial" w:cs="Arial"/>
          <w:i/>
          <w:iCs/>
          <w:sz w:val="22"/>
          <w:szCs w:val="22"/>
        </w:rPr>
        <w:t>hypoxic burden</w:t>
      </w:r>
      <w:r w:rsidRPr="00C447FA">
        <w:rPr>
          <w:rFonts w:ascii="Arial" w:hAnsi="Arial" w:cs="Arial"/>
          <w:sz w:val="22"/>
          <w:szCs w:val="22"/>
        </w:rPr>
        <w:t xml:space="preserve"> </w:t>
      </w:r>
      <w:r w:rsidRPr="00636BD1">
        <w:rPr>
          <w:rFonts w:ascii="Arial" w:hAnsi="Arial" w:cs="Arial"/>
          <w:b/>
          <w:bCs/>
          <w:sz w:val="22"/>
          <w:szCs w:val="22"/>
        </w:rPr>
        <w:t>(HB)</w:t>
      </w:r>
      <w:r w:rsidRPr="00C447FA">
        <w:rPr>
          <w:rFonts w:ascii="Arial" w:hAnsi="Arial" w:cs="Arial"/>
          <w:sz w:val="22"/>
          <w:szCs w:val="22"/>
        </w:rPr>
        <w:t xml:space="preserve"> como métrica complementaria, al integrar frecuencia, profundidad y duración de las desaturaciones, con mayor asociación con eventos cardiovasculares adversos que los índices aislados (Azarbarzin et al., 2019). A esto se suma la variabilidad noche a noche dentro de un mismo paciente, que puede ser considerable y limitar la interpretación basada en un único registro (Levendowski et al., 2009; Bittencourt et al., 2001; Malhotra et al., 2021). Esta variabilidad refuerza la necesidad de análisis longitudinales multinoche y de representaciones dinámicas que capturen la estructura del sueño más allá del estudio aislado.</w:t>
      </w:r>
    </w:p>
    <w:p w14:paraId="5F1C78B5" w14:textId="526020AA" w:rsidR="002A05E2" w:rsidRPr="002A05E2" w:rsidRDefault="002A05E2" w:rsidP="002A05E2">
      <w:pPr>
        <w:pStyle w:val="p1"/>
        <w:spacing w:line="276" w:lineRule="auto"/>
        <w:jc w:val="both"/>
        <w:rPr>
          <w:rFonts w:ascii="Arial" w:hAnsi="Arial" w:cs="Arial"/>
          <w:sz w:val="22"/>
          <w:szCs w:val="22"/>
        </w:rPr>
      </w:pPr>
      <w:r>
        <w:rPr>
          <w:rFonts w:ascii="Arial" w:hAnsi="Arial" w:cs="Arial"/>
          <w:sz w:val="22"/>
          <w:szCs w:val="22"/>
        </w:rPr>
        <w:lastRenderedPageBreak/>
        <w:tab/>
      </w:r>
      <w:r w:rsidRPr="002A05E2">
        <w:rPr>
          <w:rFonts w:ascii="Arial" w:hAnsi="Arial" w:cs="Arial"/>
          <w:sz w:val="22"/>
          <w:szCs w:val="22"/>
        </w:rPr>
        <w:t xml:space="preserve">La heterogeneidad clínica y fisiopatológica del SAOS ha impulsado investigaciones orientadas a identificar fenotipos de pacientes con perfiles diferenciados. Diversos estudios han agrupado pacientes según variables clínicas, polisomnográficas o de respuesta terapéutica, describiendo entre tres y cinco subtipos distintivos (Ye et al., 2014; Bailly et al., 2016; Zinchuk &amp; Yaggi, 2020). Otros enfoques se centran en mecanismos fisiopatológicos </w:t>
      </w:r>
      <w:r w:rsidR="00793BB4">
        <w:rPr>
          <w:rFonts w:ascii="Arial" w:hAnsi="Arial" w:cs="Arial"/>
          <w:sz w:val="22"/>
          <w:szCs w:val="22"/>
        </w:rPr>
        <w:t xml:space="preserve">subyacentes </w:t>
      </w:r>
      <w:r w:rsidRPr="002A05E2">
        <w:rPr>
          <w:rFonts w:ascii="Arial" w:hAnsi="Arial" w:cs="Arial"/>
          <w:sz w:val="22"/>
          <w:szCs w:val="22"/>
        </w:rPr>
        <w:t>como el umbral de activación, la ganancia del lazo ventilatorio, la compensación muscular y el umbral de apnea, dimensiones que caracterizan al paciente más allá de la severidad agregada (Eckert et al., 2013). En conjunto, estos trabajos sugieren que el análisis detallado de señales nocturnas continuas, especialmente mediante oximetría domiciliaria multinoche, podría aportar una caracterización más fina del síndrome.</w:t>
      </w:r>
    </w:p>
    <w:p w14:paraId="6A7444CB" w14:textId="77777777" w:rsidR="00E17B4B" w:rsidRDefault="00000000">
      <w:pPr>
        <w:pStyle w:val="Ttulo2"/>
      </w:pPr>
      <w:r>
        <w:t>2.2 Monitoreo domiciliario con oximetría portátil</w:t>
      </w:r>
    </w:p>
    <w:p w14:paraId="55C5116D" w14:textId="66CB48AE" w:rsidR="00842A0C" w:rsidRPr="00842A0C" w:rsidRDefault="00842A0C" w:rsidP="00842A0C">
      <w:pPr>
        <w:pStyle w:val="p1"/>
        <w:spacing w:line="276" w:lineRule="auto"/>
        <w:jc w:val="both"/>
        <w:rPr>
          <w:rFonts w:ascii="Arial" w:hAnsi="Arial" w:cs="Arial"/>
          <w:sz w:val="22"/>
          <w:szCs w:val="22"/>
        </w:rPr>
      </w:pPr>
      <w:r>
        <w:rPr>
          <w:rFonts w:ascii="Arial" w:hAnsi="Arial" w:cs="Arial"/>
          <w:sz w:val="22"/>
          <w:szCs w:val="22"/>
        </w:rPr>
        <w:tab/>
      </w:r>
      <w:r w:rsidRPr="00842A0C">
        <w:rPr>
          <w:rFonts w:ascii="Arial" w:hAnsi="Arial" w:cs="Arial"/>
          <w:sz w:val="22"/>
          <w:szCs w:val="22"/>
        </w:rPr>
        <w:t>El estudio de referencia para el diagnóstico del SAOS es la polisomnografía en laboratorio (PSG), que registra múltiples señales fisiológicas durante una noche completa, incluyendo actividad cerebral, movimientos oculares, tono muscular, flujo aéreo, esfuerzo ventilatorio, saturación de oxígeno, electrocardiograma y posición corporal. Aunque posee alta capacidad diagnóstica, su acceso es limitado por el coste, la necesidad de desplazamiento, las condiciones artificiales de sueño y el hecho de producir habitualmente un único registro (Kapur et al., 2017). Frente a ello, el monitoreo domiciliario portátil permite registrar señales fisiológicas en condiciones naturales y durante múltiples noches consecutivas, con menor coste, aunque con un conjunto más reducido de variables (Collop et al., 2007).</w:t>
      </w:r>
    </w:p>
    <w:p w14:paraId="0848407C" w14:textId="0CEC70C6" w:rsidR="00DD4145" w:rsidRPr="00DD4145" w:rsidRDefault="00DD4145" w:rsidP="00DD4145">
      <w:pPr>
        <w:pStyle w:val="p1"/>
        <w:spacing w:line="276" w:lineRule="auto"/>
        <w:jc w:val="both"/>
        <w:rPr>
          <w:rFonts w:ascii="Arial" w:hAnsi="Arial" w:cs="Arial"/>
          <w:sz w:val="22"/>
          <w:szCs w:val="22"/>
        </w:rPr>
      </w:pPr>
      <w:r>
        <w:rPr>
          <w:rFonts w:ascii="Arial" w:hAnsi="Arial" w:cs="Arial"/>
          <w:sz w:val="22"/>
          <w:szCs w:val="22"/>
        </w:rPr>
        <w:tab/>
      </w:r>
      <w:r w:rsidRPr="00DD4145">
        <w:rPr>
          <w:rFonts w:ascii="Arial" w:hAnsi="Arial" w:cs="Arial"/>
          <w:sz w:val="22"/>
          <w:szCs w:val="22"/>
        </w:rPr>
        <w:t xml:space="preserve">Desde el punto de vista analítico, las tres señales registradas cumplen roles complementarios en el pipeline. La </w:t>
      </w:r>
      <w:r w:rsidRPr="00DD4145">
        <w:rPr>
          <w:rFonts w:ascii="Arial" w:hAnsi="Arial" w:cs="Arial"/>
          <w:b/>
          <w:bCs/>
          <w:sz w:val="22"/>
          <w:szCs w:val="22"/>
        </w:rPr>
        <w:t>SpO</w:t>
      </w:r>
      <w:r w:rsidRPr="00DD4145">
        <w:rPr>
          <w:rFonts w:ascii="Cambria Math" w:hAnsi="Cambria Math" w:cs="Cambria Math"/>
          <w:b/>
          <w:bCs/>
          <w:sz w:val="22"/>
          <w:szCs w:val="22"/>
        </w:rPr>
        <w:t>₂</w:t>
      </w:r>
      <w:r w:rsidRPr="00DD4145">
        <w:rPr>
          <w:rFonts w:ascii="Arial" w:hAnsi="Arial" w:cs="Arial"/>
          <w:sz w:val="22"/>
          <w:szCs w:val="22"/>
        </w:rPr>
        <w:t xml:space="preserve"> permite capturar la dinámica de cada desaturación </w:t>
      </w:r>
      <w:r>
        <w:rPr>
          <w:rFonts w:ascii="Arial" w:hAnsi="Arial" w:cs="Arial"/>
          <w:sz w:val="22"/>
          <w:szCs w:val="22"/>
        </w:rPr>
        <w:t>(</w:t>
      </w:r>
      <w:r w:rsidRPr="00DD4145">
        <w:rPr>
          <w:rFonts w:ascii="Arial" w:hAnsi="Arial" w:cs="Arial"/>
          <w:sz w:val="22"/>
          <w:szCs w:val="22"/>
        </w:rPr>
        <w:t>pendiente de caída, profundidad, forma y recuperación</w:t>
      </w:r>
      <w:r>
        <w:rPr>
          <w:rFonts w:ascii="Arial" w:hAnsi="Arial" w:cs="Arial"/>
          <w:sz w:val="22"/>
          <w:szCs w:val="22"/>
        </w:rPr>
        <w:t>)</w:t>
      </w:r>
      <w:r w:rsidRPr="00DD4145">
        <w:rPr>
          <w:rFonts w:ascii="Arial" w:hAnsi="Arial" w:cs="Arial"/>
          <w:sz w:val="22"/>
          <w:szCs w:val="22"/>
        </w:rPr>
        <w:t xml:space="preserve">, por lo que constituye la señal primaria para el análisis morfológico. La </w:t>
      </w:r>
      <w:r w:rsidRPr="00DD4145">
        <w:rPr>
          <w:rFonts w:ascii="Arial" w:hAnsi="Arial" w:cs="Arial"/>
          <w:b/>
          <w:bCs/>
          <w:sz w:val="22"/>
          <w:szCs w:val="22"/>
        </w:rPr>
        <w:t>frecuencia cardíaca</w:t>
      </w:r>
      <w:r w:rsidRPr="00DD4145">
        <w:rPr>
          <w:rFonts w:ascii="Arial" w:hAnsi="Arial" w:cs="Arial"/>
          <w:sz w:val="22"/>
          <w:szCs w:val="22"/>
        </w:rPr>
        <w:t xml:space="preserve"> aporta información sobre la respuesta autonómica evento a evento, mientras que el </w:t>
      </w:r>
      <w:r w:rsidRPr="00DD4145">
        <w:rPr>
          <w:rFonts w:ascii="Arial" w:hAnsi="Arial" w:cs="Arial"/>
          <w:b/>
          <w:bCs/>
          <w:sz w:val="22"/>
          <w:szCs w:val="22"/>
        </w:rPr>
        <w:t>movimiento corporal</w:t>
      </w:r>
      <w:r w:rsidRPr="00DD4145">
        <w:rPr>
          <w:rFonts w:ascii="Arial" w:hAnsi="Arial" w:cs="Arial"/>
          <w:sz w:val="22"/>
          <w:szCs w:val="22"/>
        </w:rPr>
        <w:t>, de interpretación más contextual, contribuye a inferir postura y detectar activaciones motoras asociadas a microdespertares (Yoon &amp; Choi, 2023).</w:t>
      </w:r>
    </w:p>
    <w:p w14:paraId="7F33E588" w14:textId="47291B07" w:rsidR="00EC53B2" w:rsidRPr="00EC53B2" w:rsidRDefault="00EC53B2" w:rsidP="00EC53B2">
      <w:pPr>
        <w:pStyle w:val="NormalWeb"/>
        <w:spacing w:line="276" w:lineRule="auto"/>
        <w:jc w:val="both"/>
        <w:rPr>
          <w:rFonts w:ascii="Arial" w:hAnsi="Arial" w:cs="Arial"/>
          <w:i/>
          <w:iCs/>
          <w:sz w:val="22"/>
          <w:szCs w:val="22"/>
        </w:rPr>
      </w:pPr>
      <w:r>
        <w:rPr>
          <w:rStyle w:val="nfasis"/>
          <w:rFonts w:ascii="Arial" w:hAnsi="Arial" w:cs="Arial"/>
          <w:i w:val="0"/>
          <w:iCs w:val="0"/>
          <w:sz w:val="22"/>
          <w:szCs w:val="22"/>
        </w:rPr>
        <w:tab/>
      </w:r>
      <w:r w:rsidRPr="00EC53B2">
        <w:rPr>
          <w:rStyle w:val="nfasis"/>
          <w:rFonts w:ascii="Arial" w:hAnsi="Arial" w:cs="Arial"/>
          <w:i w:val="0"/>
          <w:iCs w:val="0"/>
          <w:sz w:val="22"/>
          <w:szCs w:val="22"/>
        </w:rPr>
        <w:t>Una ventaja metodológicamente relevante del monitoreo domiciliario es la posibilidad de adquirir registros durante noches consecutivas en condiciones habituales del paciente. La misma persona puede presentar perfiles fisiológicos marcadamente distintos entre noches en función de factores como la postura, el consumo de alcohol o el estado de fatiga (Levendowski et al., 2009; Bittencourt et al., 2001), lo que convierte la variabilidad intraindividual en información con valor propio</w:t>
      </w:r>
      <w:r>
        <w:rPr>
          <w:rStyle w:val="nfasis"/>
          <w:rFonts w:ascii="Arial" w:hAnsi="Arial" w:cs="Arial"/>
          <w:i w:val="0"/>
          <w:iCs w:val="0"/>
          <w:sz w:val="22"/>
          <w:szCs w:val="22"/>
        </w:rPr>
        <w:t xml:space="preserve">, </w:t>
      </w:r>
      <w:r w:rsidRPr="00EC53B2">
        <w:rPr>
          <w:rStyle w:val="nfasis"/>
          <w:rFonts w:ascii="Arial" w:hAnsi="Arial" w:cs="Arial"/>
          <w:i w:val="0"/>
          <w:iCs w:val="0"/>
          <w:sz w:val="22"/>
          <w:szCs w:val="22"/>
        </w:rPr>
        <w:t>no en ruido a eliminar</w:t>
      </w:r>
      <w:r>
        <w:rPr>
          <w:rStyle w:val="nfasis"/>
          <w:rFonts w:ascii="Arial" w:hAnsi="Arial" w:cs="Arial"/>
          <w:i w:val="0"/>
          <w:iCs w:val="0"/>
          <w:sz w:val="22"/>
          <w:szCs w:val="22"/>
        </w:rPr>
        <w:t>,</w:t>
      </w:r>
      <w:r w:rsidRPr="00EC53B2">
        <w:rPr>
          <w:rStyle w:val="nfasis"/>
          <w:rFonts w:ascii="Arial" w:hAnsi="Arial" w:cs="Arial"/>
          <w:i w:val="0"/>
          <w:iCs w:val="0"/>
          <w:sz w:val="22"/>
          <w:szCs w:val="22"/>
        </w:rPr>
        <w:t xml:space="preserve"> tanto para la caracterización del paciente individual como para el análisis metodológico. Desde este último punto de vista, una cohorte multinoche genera un volumen de datos considerablemente mayor, lo que favorece la estabilidad de las representaciones no supervisadas y podría mejorar la robustez de los modelos predictivos; aunque con la salvedad de que las noches de un mismo paciente no son independientes, lo que acota el número efectivo de unidades de análisis al número de pacientes y condiciona el diseño de la validación, como se desarrolla en la sección 2.4.</w:t>
      </w:r>
    </w:p>
    <w:p w14:paraId="7823C579" w14:textId="06EE4FEA" w:rsidR="00E44B35" w:rsidRPr="00E44B35" w:rsidRDefault="00E44B35" w:rsidP="00E44B35">
      <w:pPr>
        <w:pStyle w:val="p1"/>
        <w:spacing w:line="276" w:lineRule="auto"/>
        <w:jc w:val="both"/>
        <w:rPr>
          <w:rFonts w:ascii="Arial" w:hAnsi="Arial" w:cs="Arial"/>
          <w:sz w:val="22"/>
          <w:szCs w:val="22"/>
        </w:rPr>
      </w:pPr>
      <w:r>
        <w:rPr>
          <w:rFonts w:ascii="Arial" w:hAnsi="Arial" w:cs="Arial"/>
          <w:sz w:val="22"/>
          <w:szCs w:val="22"/>
        </w:rPr>
        <w:lastRenderedPageBreak/>
        <w:tab/>
      </w:r>
      <w:r w:rsidRPr="00E44B35">
        <w:rPr>
          <w:rFonts w:ascii="Arial" w:hAnsi="Arial" w:cs="Arial"/>
          <w:sz w:val="22"/>
          <w:szCs w:val="22"/>
        </w:rPr>
        <w:t>Los registros domiciliarios también presentan limitaciones analíticas. La calidad de señal es más variable que en el laboratorio, con artefactos de movimiento, desconexiones del sensor y cambios posturales que pueden generar segmentos no interpretables, por lo que requieren criterios explícitos de control de calidad. Además, la ausencia de EEG impide estadificar directamente las fases del sueño. Aun así, las señales de SpO</w:t>
      </w:r>
      <w:r w:rsidRPr="00E44B35">
        <w:rPr>
          <w:rFonts w:ascii="Cambria Math" w:hAnsi="Cambria Math" w:cs="Cambria Math"/>
          <w:sz w:val="22"/>
          <w:szCs w:val="22"/>
        </w:rPr>
        <w:t>₂</w:t>
      </w:r>
      <w:r w:rsidRPr="00E44B35">
        <w:rPr>
          <w:rFonts w:ascii="Arial" w:hAnsi="Arial" w:cs="Arial"/>
          <w:sz w:val="22"/>
          <w:szCs w:val="22"/>
        </w:rPr>
        <w:t>, frecuencia cardíaca y movimiento son suficientes para analizar la morfología y dinámica de los eventos de desaturación, especialmente si se aprovechan mediante pipelines reproducibles adaptados a datos longitudinales multinoche.</w:t>
      </w:r>
    </w:p>
    <w:p w14:paraId="1C65DB92" w14:textId="77777777" w:rsidR="00E17B4B" w:rsidRDefault="00000000">
      <w:pPr>
        <w:pStyle w:val="Ttulo2"/>
      </w:pPr>
      <w:r>
        <w:t>2.3 Análisis de series temporales fisiológicas</w:t>
      </w:r>
    </w:p>
    <w:p w14:paraId="0AA52B76" w14:textId="77777777" w:rsidR="00E17B4B" w:rsidRDefault="00000000">
      <w:pPr>
        <w:spacing w:after="160"/>
        <w:ind w:firstLine="720"/>
        <w:jc w:val="both"/>
      </w:pPr>
      <w:r>
        <w:t>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14:paraId="7D8102EA" w14:textId="77777777" w:rsidR="00E17B4B" w:rsidRDefault="00000000">
      <w:pPr>
        <w:spacing w:after="160"/>
        <w:ind w:firstLine="720"/>
        <w:jc w:val="both"/>
      </w:pPr>
      <w:r>
        <w:t>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La definición operacional de estos umbrales —qué constituye un evento, cuándo comienza y cuándo termina, cómo se segmenta la curva completa— tiene un impacto directo sobre el número de eventos detectados, sus características métricas y la calidad de los análisis posteriores. Una definición reproducible, implementada algorítmicamente y trazable, es un requisito de validez para cualquier análisis basado en eventos.</w:t>
      </w:r>
    </w:p>
    <w:p w14:paraId="5959BBEC" w14:textId="77777777" w:rsidR="00E17B4B" w:rsidRDefault="00000000">
      <w:pPr>
        <w:spacing w:after="160"/>
        <w:ind w:firstLine="720"/>
        <w:jc w:val="both"/>
      </w:pPr>
      <w:r>
        <w:t>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w:t>
      </w:r>
    </w:p>
    <w:p w14:paraId="628B42BF" w14:textId="77777777" w:rsidR="00E17B4B" w:rsidRDefault="00000000">
      <w:pPr>
        <w:spacing w:after="160"/>
        <w:ind w:firstLine="720"/>
        <w:jc w:val="both"/>
      </w:pPr>
      <w: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w:t>
      </w:r>
      <w:r>
        <w:lastRenderedPageBreak/>
        <w:t>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o los patrones de actividad-reposo en actigrafía de larga duración.</w:t>
      </w:r>
    </w:p>
    <w:p w14:paraId="138C7673" w14:textId="77777777" w:rsidR="00E17B4B" w:rsidRDefault="00000000">
      <w:pPr>
        <w:spacing w:after="160"/>
        <w:ind w:firstLine="720"/>
        <w:jc w:val="both"/>
      </w:pPr>
      <w:r>
        <w:t>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La definición de los estados mediante agrupamiento no supervisado permite que emerjan de los datos mismos, sin imponer categorías clínicas a priori.</w:t>
      </w:r>
    </w:p>
    <w:p w14:paraId="0EA8E42F" w14:textId="77777777" w:rsidR="00E17B4B" w:rsidRDefault="00000000">
      <w:pPr>
        <w:pStyle w:val="Ttulo2"/>
      </w:pPr>
      <w:r>
        <w:t>2.4 Aprendizaje automático en señales biomédicas</w:t>
      </w:r>
    </w:p>
    <w:p w14:paraId="0046A0B7" w14:textId="77777777" w:rsidR="00E17B4B" w:rsidRDefault="00000000">
      <w:pPr>
        <w:spacing w:after="160"/>
        <w:ind w:firstLine="720"/>
        <w:jc w:val="both"/>
      </w:pPr>
      <w:r>
        <w:t>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14:paraId="30904474" w14:textId="77777777" w:rsidR="00E17B4B" w:rsidRDefault="00000000">
      <w:pPr>
        <w:spacing w:after="160"/>
        <w:ind w:firstLine="720"/>
        <w:jc w:val="both"/>
      </w:pPr>
      <w:r>
        <w:t>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14:paraId="299EE3EB" w14:textId="77777777" w:rsidR="00E17B4B" w:rsidRDefault="00000000">
      <w:pPr>
        <w:spacing w:after="160"/>
        <w:ind w:firstLine="720"/>
        <w:jc w:val="both"/>
      </w:pPr>
      <w: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w:t>
      </w:r>
      <w:r>
        <w:lastRenderedPageBreak/>
        <w:t>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14:paraId="4F9A8510" w14:textId="77777777" w:rsidR="00E17B4B" w:rsidRDefault="00000000">
      <w:pPr>
        <w:spacing w:after="160"/>
        <w:ind w:firstLine="720"/>
        <w:jc w:val="both"/>
      </w:pPr>
      <w:r>
        <w:t>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14:paraId="75EF96B8" w14:textId="77777777" w:rsidR="00E17B4B" w:rsidRDefault="00000000">
      <w:pPr>
        <w:spacing w:after="160"/>
        <w:ind w:firstLine="720"/>
        <w:jc w:val="both"/>
      </w:pPr>
      <w:r>
        <w:t>La validación de modelos predictivos en conjuntos de datos con estructura longitudinal agrupada —como registros de múltiples noches de múltiples pacientes— requiere esquemas de validación que respeten la independencia entre grupos.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14:paraId="0375FDDE" w14:textId="77777777" w:rsidR="00E17B4B" w:rsidRDefault="00000000">
      <w:pPr>
        <w:spacing w:after="160"/>
        <w:ind w:firstLine="720"/>
        <w:jc w:val="both"/>
      </w:pPr>
      <w:r>
        <w:t>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w:t>
      </w:r>
    </w:p>
    <w:p w14:paraId="6098EC36" w14:textId="77777777" w:rsidR="00E17B4B" w:rsidRDefault="00E17B4B">
      <w:pPr>
        <w:spacing w:before="160"/>
      </w:pPr>
    </w:p>
    <w:p w14:paraId="65AAC728" w14:textId="77777777" w:rsidR="00E17B4B" w:rsidRDefault="00000000">
      <w:pPr>
        <w:spacing w:after="160"/>
        <w:ind w:firstLine="720"/>
        <w:jc w:val="both"/>
      </w:pPr>
      <w:r>
        <w:t xml:space="preserve">El marco conceptual revisado en este capítulo —fisiopatología del SAOS, características del monitoreo domiciliario con oximetría portátil, propiedades de las series </w:t>
      </w:r>
      <w:r>
        <w:lastRenderedPageBreak/>
        <w:t>temporales fisiológicas nocturnas y fundamentos del aprendizaje automático aplicado a señales biomédicas— establece la base conceptual sobre la que se construye el diseño metodológico del proyecto. El capítulo siguiente describe los materiales y métodos: la cohorte de pacientes, el diseño del pipeline PAC_v3 con su arquitectura de procesamiento y las decisiones de control de calidad de señal que dan forma al conjunto de datos analítico utilizado a lo largo del trabajo.</w:t>
      </w:r>
    </w:p>
    <w:p w14:paraId="63A726D1" w14:textId="77777777" w:rsidR="00E17B4B" w:rsidRDefault="00E17B4B">
      <w:pPr>
        <w:spacing w:before="200"/>
      </w:pPr>
    </w:p>
    <w:p w14:paraId="1E88FF3D" w14:textId="77777777" w:rsidR="00E17B4B" w:rsidRDefault="00000000">
      <w:pPr>
        <w:pStyle w:val="Ttulo2"/>
      </w:pPr>
      <w:r>
        <w:t>Referencias</w:t>
      </w:r>
    </w:p>
    <w:p w14:paraId="08B47C70" w14:textId="77777777" w:rsidR="00E17B4B" w:rsidRDefault="00000000">
      <w:pPr>
        <w:spacing w:after="140"/>
        <w:ind w:left="720" w:hanging="720"/>
        <w:jc w:val="both"/>
      </w:pPr>
      <w:r>
        <w:rPr>
          <w:sz w:val="21"/>
          <w:szCs w:val="21"/>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Pr>
          <w:i/>
          <w:iCs/>
          <w:sz w:val="21"/>
          <w:szCs w:val="21"/>
        </w:rPr>
        <w:t>European Heart Journal</w:t>
      </w:r>
      <w:r>
        <w:rPr>
          <w:sz w:val="21"/>
          <w:szCs w:val="21"/>
        </w:rPr>
        <w:t>, 40(14), 1149–1157. https://doi.org/10.1093/eurheartj/ehy624</w:t>
      </w:r>
    </w:p>
    <w:p w14:paraId="0F168DC9" w14:textId="77777777" w:rsidR="00E17B4B" w:rsidRDefault="00000000">
      <w:pPr>
        <w:spacing w:after="140"/>
        <w:ind w:left="720" w:hanging="720"/>
        <w:jc w:val="both"/>
      </w:pPr>
      <w:r>
        <w:rPr>
          <w:sz w:val="21"/>
          <w:szCs w:val="21"/>
        </w:rPr>
        <w:t xml:space="preserve">Bailly, S., Destors, M., Grillet, Y., Richard, P., Stach, B., Vivodtzev, I., Timsit, J.-F., Lévy, P., Tamisier, R., &amp; Pépin, J.-L. (2016). Obstructive sleep apnea: a cluster analysis at time of diagnosis. </w:t>
      </w:r>
      <w:r>
        <w:rPr>
          <w:i/>
          <w:iCs/>
          <w:sz w:val="21"/>
          <w:szCs w:val="21"/>
        </w:rPr>
        <w:t>PLoS One</w:t>
      </w:r>
      <w:r>
        <w:rPr>
          <w:sz w:val="21"/>
          <w:szCs w:val="21"/>
        </w:rPr>
        <w:t>, 11(6), e0157318. https://doi.org/10.1371/journal.pone.0157318</w:t>
      </w:r>
    </w:p>
    <w:p w14:paraId="6F4A1B3A" w14:textId="77777777" w:rsidR="00E17B4B" w:rsidRDefault="00000000">
      <w:pPr>
        <w:spacing w:after="140"/>
        <w:ind w:left="720" w:hanging="720"/>
        <w:jc w:val="both"/>
      </w:pPr>
      <w:r>
        <w:rPr>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i/>
          <w:iCs/>
          <w:sz w:val="21"/>
          <w:szCs w:val="21"/>
        </w:rPr>
        <w:t>The Lancet Respiratory Medicine</w:t>
      </w:r>
      <w:r>
        <w:rPr>
          <w:sz w:val="21"/>
          <w:szCs w:val="21"/>
        </w:rPr>
        <w:t>, 7(8), 687–698. https://doi.org/10.1016/S2213-2600(19)30198-5</w:t>
      </w:r>
    </w:p>
    <w:p w14:paraId="09037DA7" w14:textId="77777777" w:rsidR="00E17B4B" w:rsidRDefault="00000000">
      <w:pPr>
        <w:spacing w:after="140"/>
        <w:ind w:left="720" w:hanging="720"/>
        <w:jc w:val="both"/>
      </w:pPr>
      <w:r>
        <w:rPr>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i/>
          <w:iCs/>
          <w:sz w:val="21"/>
          <w:szCs w:val="21"/>
        </w:rPr>
        <w:t>Journal of Clinical Sleep Medicine</w:t>
      </w:r>
      <w:r>
        <w:rPr>
          <w:sz w:val="21"/>
          <w:szCs w:val="21"/>
        </w:rPr>
        <w:t>, 8(5), 597–619. https://doi.org/10.5664/jcsm.2172</w:t>
      </w:r>
    </w:p>
    <w:p w14:paraId="65F833A0" w14:textId="77777777" w:rsidR="00E17B4B" w:rsidRDefault="00000000">
      <w:pPr>
        <w:spacing w:after="140"/>
        <w:ind w:left="720" w:hanging="720"/>
        <w:jc w:val="both"/>
      </w:pPr>
      <w:r>
        <w:rPr>
          <w:sz w:val="21"/>
          <w:szCs w:val="21"/>
        </w:rPr>
        <w:t xml:space="preserve">Bittencourt, L. R. A., Suchecki, D., Tufik, S., Peres, C., Togeiro, S. M., Bagnato, M. C., &amp; Nery, L. E. (2001). The variability of the apnoea-hypopnoea index. </w:t>
      </w:r>
      <w:r>
        <w:rPr>
          <w:i/>
          <w:iCs/>
          <w:sz w:val="21"/>
          <w:szCs w:val="21"/>
        </w:rPr>
        <w:t>Journal of Sleep Research</w:t>
      </w:r>
      <w:r>
        <w:rPr>
          <w:sz w:val="21"/>
          <w:szCs w:val="21"/>
        </w:rPr>
        <w:t>, 10(3), 245–251. https://doi.org/10.1046/j.1365-2869.2001.00255.x</w:t>
      </w:r>
    </w:p>
    <w:p w14:paraId="7DE177A8" w14:textId="77777777" w:rsidR="00E17B4B" w:rsidRDefault="00000000">
      <w:pPr>
        <w:spacing w:after="140"/>
        <w:ind w:left="720" w:hanging="720"/>
        <w:jc w:val="both"/>
      </w:pPr>
      <w:r>
        <w:rPr>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w:t>
      </w:r>
      <w:r>
        <w:rPr>
          <w:i/>
          <w:iCs/>
          <w:sz w:val="21"/>
          <w:szCs w:val="21"/>
        </w:rPr>
        <w:t>Journal of Clinical Sleep Medicine</w:t>
      </w:r>
      <w:r>
        <w:rPr>
          <w:sz w:val="21"/>
          <w:szCs w:val="21"/>
        </w:rPr>
        <w:t>, 3(7), 737–747. https://doi.org/10.5664/jcsm.26999</w:t>
      </w:r>
    </w:p>
    <w:p w14:paraId="4DB875DF" w14:textId="77777777" w:rsidR="00E17B4B" w:rsidRDefault="00000000">
      <w:pPr>
        <w:spacing w:after="140"/>
        <w:ind w:left="720" w:hanging="720"/>
        <w:jc w:val="both"/>
      </w:pPr>
      <w:r>
        <w:rPr>
          <w:sz w:val="21"/>
          <w:szCs w:val="21"/>
        </w:rPr>
        <w:t xml:space="preserve">Dempsey, J. A., Veasna, P., Morgan, B. J., &amp; O'Donnell, C. P. (2010). Pathophysiology of sleep apnea. </w:t>
      </w:r>
      <w:r>
        <w:rPr>
          <w:i/>
          <w:iCs/>
          <w:sz w:val="21"/>
          <w:szCs w:val="21"/>
        </w:rPr>
        <w:t>Physiological Reviews</w:t>
      </w:r>
      <w:r>
        <w:rPr>
          <w:sz w:val="21"/>
          <w:szCs w:val="21"/>
        </w:rPr>
        <w:t>, 90(1), 47–112. https://doi.org/10.1152/physrev.00043.2008</w:t>
      </w:r>
    </w:p>
    <w:p w14:paraId="388EC002" w14:textId="77777777" w:rsidR="00E17B4B" w:rsidRDefault="00000000">
      <w:pPr>
        <w:spacing w:after="140"/>
        <w:ind w:left="720" w:hanging="720"/>
        <w:jc w:val="both"/>
      </w:pPr>
      <w:r>
        <w:rPr>
          <w:sz w:val="21"/>
          <w:szCs w:val="21"/>
        </w:rPr>
        <w:t xml:space="preserve">Eckert, D. J., White, D. P., Jordan, A. S., Malhotra, A., &amp; Wellman, A. (2013). Defining phenotypic causes of obstructive sleep apnea: identification of novel therapeutic targets. </w:t>
      </w:r>
      <w:r>
        <w:rPr>
          <w:i/>
          <w:iCs/>
          <w:sz w:val="21"/>
          <w:szCs w:val="21"/>
        </w:rPr>
        <w:t>American Journal of Respiratory and Critical Care Medicine</w:t>
      </w:r>
      <w:r>
        <w:rPr>
          <w:sz w:val="21"/>
          <w:szCs w:val="21"/>
        </w:rPr>
        <w:t>, 188(8), 996–1004. https://doi.org/10.1164/rccm.201303-0448OC</w:t>
      </w:r>
    </w:p>
    <w:p w14:paraId="5768D7F4" w14:textId="77777777" w:rsidR="00E17B4B" w:rsidRDefault="00000000">
      <w:pPr>
        <w:spacing w:after="140"/>
        <w:ind w:left="720" w:hanging="720"/>
        <w:jc w:val="both"/>
      </w:pPr>
      <w:r>
        <w:rPr>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i/>
          <w:iCs/>
          <w:sz w:val="21"/>
          <w:szCs w:val="21"/>
        </w:rPr>
        <w:t>Journal of Clinical Sleep Medicine</w:t>
      </w:r>
      <w:r>
        <w:rPr>
          <w:sz w:val="21"/>
          <w:szCs w:val="21"/>
        </w:rPr>
        <w:t>, 13(3), 479–504. https://doi.org/10.5664/jcsm.6506</w:t>
      </w:r>
    </w:p>
    <w:p w14:paraId="6C319390" w14:textId="77777777" w:rsidR="00E17B4B" w:rsidRDefault="00000000">
      <w:pPr>
        <w:spacing w:after="140"/>
        <w:ind w:left="720" w:hanging="720"/>
        <w:jc w:val="both"/>
      </w:pPr>
      <w:r>
        <w:rPr>
          <w:sz w:val="21"/>
          <w:szCs w:val="21"/>
        </w:rPr>
        <w:lastRenderedPageBreak/>
        <w:t xml:space="preserve">Ke, G., Meng, Q., Finley, T., Wang, T., Chen, W., Ma, W., Ye, Q., &amp; Liu, T.-Y. (2017). LightGBM: A highly efficient gradient boosting decision tree. </w:t>
      </w:r>
      <w:r>
        <w:rPr>
          <w:i/>
          <w:iCs/>
          <w:sz w:val="21"/>
          <w:szCs w:val="21"/>
        </w:rPr>
        <w:t>Advances in Neural Information Processing Systems</w:t>
      </w:r>
      <w:r>
        <w:rPr>
          <w:sz w:val="21"/>
          <w:szCs w:val="21"/>
        </w:rPr>
        <w:t>, 30, 3146–3154.</w:t>
      </w:r>
    </w:p>
    <w:p w14:paraId="44F6F90B" w14:textId="77777777" w:rsidR="00E17B4B" w:rsidRDefault="00000000">
      <w:pPr>
        <w:spacing w:after="140"/>
        <w:ind w:left="720" w:hanging="720"/>
        <w:jc w:val="both"/>
      </w:pPr>
      <w:r>
        <w:rPr>
          <w:sz w:val="21"/>
          <w:szCs w:val="21"/>
        </w:rPr>
        <w:t xml:space="preserve">Levendowski, D. J., Zack, N., Rao, S., Wong, K., Blackwell, T., Cavazzos, J., Hewes, R. T., &amp; Westbrook, P. (2009). Assessment of the test-retest reliability of laboratory polysomnography. </w:t>
      </w:r>
      <w:r>
        <w:rPr>
          <w:i/>
          <w:iCs/>
          <w:sz w:val="21"/>
          <w:szCs w:val="21"/>
        </w:rPr>
        <w:t>Sleep and Breathing</w:t>
      </w:r>
      <w:r>
        <w:rPr>
          <w:sz w:val="21"/>
          <w:szCs w:val="21"/>
        </w:rPr>
        <w:t>, 13(2), 163–167. https://doi.org/10.1007/s11325-008-0214-6</w:t>
      </w:r>
    </w:p>
    <w:p w14:paraId="51BCECE4" w14:textId="77777777" w:rsidR="00E17B4B" w:rsidRDefault="00000000">
      <w:pPr>
        <w:spacing w:after="140"/>
        <w:ind w:left="720" w:hanging="720"/>
        <w:jc w:val="both"/>
      </w:pPr>
      <w:r>
        <w:rPr>
          <w:sz w:val="21"/>
          <w:szCs w:val="21"/>
        </w:rPr>
        <w:t xml:space="preserve">Lundberg, S. M., &amp; Lee, S.-I. (2017). A unified approach to interpreting model predictions. </w:t>
      </w:r>
      <w:r>
        <w:rPr>
          <w:i/>
          <w:iCs/>
          <w:sz w:val="21"/>
          <w:szCs w:val="21"/>
        </w:rPr>
        <w:t>Advances in Neural Information Processing Systems</w:t>
      </w:r>
      <w:r>
        <w:rPr>
          <w:sz w:val="21"/>
          <w:szCs w:val="21"/>
        </w:rPr>
        <w:t>, 30, 4765–4774.</w:t>
      </w:r>
    </w:p>
    <w:p w14:paraId="57D8D51F" w14:textId="77777777" w:rsidR="00E17B4B" w:rsidRDefault="00000000">
      <w:pPr>
        <w:spacing w:after="140"/>
        <w:ind w:left="720" w:hanging="720"/>
        <w:jc w:val="both"/>
      </w:pPr>
      <w:r>
        <w:rPr>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i/>
          <w:iCs/>
          <w:sz w:val="21"/>
          <w:szCs w:val="21"/>
        </w:rPr>
        <w:t>Sleep</w:t>
      </w:r>
      <w:r>
        <w:rPr>
          <w:sz w:val="21"/>
          <w:szCs w:val="21"/>
        </w:rPr>
        <w:t>, 44(7), zsab030. https://doi.org/10.1093/sleep/zsab030</w:t>
      </w:r>
    </w:p>
    <w:p w14:paraId="3474EE7D" w14:textId="77777777" w:rsidR="00E17B4B" w:rsidRDefault="00000000">
      <w:pPr>
        <w:spacing w:after="140"/>
        <w:ind w:left="720" w:hanging="720"/>
        <w:jc w:val="both"/>
      </w:pPr>
      <w:r>
        <w:rPr>
          <w:sz w:val="21"/>
          <w:szCs w:val="21"/>
        </w:rPr>
        <w:t xml:space="preserve">Marin, J. M., Carrizo, S. J., Vicente, E., &amp; Agusti, A. G. N. (2005). Long-term cardiovascular outcomes in men with obstructive sleep apnoea-hypopnoea with or without treatment with continuous positive airway pressure: an observational study. </w:t>
      </w:r>
      <w:r>
        <w:rPr>
          <w:i/>
          <w:iCs/>
          <w:sz w:val="21"/>
          <w:szCs w:val="21"/>
        </w:rPr>
        <w:t>The Lancet</w:t>
      </w:r>
      <w:r>
        <w:rPr>
          <w:sz w:val="21"/>
          <w:szCs w:val="21"/>
        </w:rPr>
        <w:t>, 365(9464), 1046–1053. https://doi.org/10.1016/S0140-6736(05)71141-7</w:t>
      </w:r>
    </w:p>
    <w:p w14:paraId="04EDFE4A" w14:textId="77777777" w:rsidR="00E17B4B" w:rsidRDefault="00000000">
      <w:pPr>
        <w:spacing w:after="140"/>
        <w:ind w:left="720" w:hanging="720"/>
        <w:jc w:val="both"/>
      </w:pPr>
      <w:r>
        <w:rPr>
          <w:sz w:val="21"/>
          <w:szCs w:val="21"/>
        </w:rPr>
        <w:t xml:space="preserve">Peppard, P. E., Young, T., Barnet, J. H., Palta, M., Hagen, E. W., &amp; Hla, K. M. (2013). Increased prevalence of sleep-disordered breathing in adults. </w:t>
      </w:r>
      <w:r>
        <w:rPr>
          <w:i/>
          <w:iCs/>
          <w:sz w:val="21"/>
          <w:szCs w:val="21"/>
        </w:rPr>
        <w:t>American Journal of Epidemiology</w:t>
      </w:r>
      <w:r>
        <w:rPr>
          <w:sz w:val="21"/>
          <w:szCs w:val="21"/>
        </w:rPr>
        <w:t>, 177(9), 1006–1014. https://doi.org/10.1093/aje/kws342</w:t>
      </w:r>
    </w:p>
    <w:p w14:paraId="39411E4C" w14:textId="77777777" w:rsidR="00E17B4B" w:rsidRDefault="00000000">
      <w:pPr>
        <w:spacing w:after="140"/>
        <w:ind w:left="720" w:hanging="720"/>
        <w:jc w:val="both"/>
      </w:pPr>
      <w:r>
        <w:rPr>
          <w:sz w:val="21"/>
          <w:szCs w:val="21"/>
        </w:rPr>
        <w:t xml:space="preserve">Punjabi, N. M., Caffo, B. S., Goodwin, J. L., Gottlieb, D. J., Newman, A. B., O'Connor, G. T., Rapoport, D. M., Redline, S., Resnick, H. E., Robbins, J. A., Shahar, E., Unruh, M. L., &amp; Samet, J. M. (2009). Sleep-disordered breathing and mortality: a prospective cohort study. </w:t>
      </w:r>
      <w:r>
        <w:rPr>
          <w:i/>
          <w:iCs/>
          <w:sz w:val="21"/>
          <w:szCs w:val="21"/>
        </w:rPr>
        <w:t>PLoS Medicine</w:t>
      </w:r>
      <w:r>
        <w:rPr>
          <w:sz w:val="21"/>
          <w:szCs w:val="21"/>
        </w:rPr>
        <w:t>, 6(8), e1000132. https://doi.org/10.1371/journal.pmed.1000132</w:t>
      </w:r>
    </w:p>
    <w:p w14:paraId="1234130B" w14:textId="77777777" w:rsidR="00E17B4B" w:rsidRDefault="00000000">
      <w:pPr>
        <w:spacing w:after="140"/>
        <w:ind w:left="720" w:hanging="720"/>
        <w:jc w:val="both"/>
      </w:pPr>
      <w:r>
        <w:rPr>
          <w:sz w:val="21"/>
          <w:szCs w:val="21"/>
        </w:rPr>
        <w:t xml:space="preserve">Shamsuzzaman, A. S. M., Gersh, B. J., &amp; Somers, V. K. (2003). Obstructive sleep apnea: implications for cardiac and vascular disease. </w:t>
      </w:r>
      <w:r>
        <w:rPr>
          <w:i/>
          <w:iCs/>
          <w:sz w:val="21"/>
          <w:szCs w:val="21"/>
        </w:rPr>
        <w:t>JAMA</w:t>
      </w:r>
      <w:r>
        <w:rPr>
          <w:sz w:val="21"/>
          <w:szCs w:val="21"/>
        </w:rPr>
        <w:t>, 290(14), 1906–1914. https://doi.org/10.1001/jama.290.14.1906</w:t>
      </w:r>
    </w:p>
    <w:p w14:paraId="72CB40C5" w14:textId="77777777" w:rsidR="00E17B4B" w:rsidRDefault="00000000">
      <w:pPr>
        <w:spacing w:after="140"/>
        <w:ind w:left="720" w:hanging="720"/>
        <w:jc w:val="both"/>
      </w:pPr>
      <w:r>
        <w:rPr>
          <w:sz w:val="21"/>
          <w:szCs w:val="21"/>
        </w:rPr>
        <w:t xml:space="preserve">Somers, V. K., Dyken, M. E., Mark, A. L., &amp; Abboud, F. M. (1993). Sympathetic-nerve activity during sleep in normal subjects. </w:t>
      </w:r>
      <w:r>
        <w:rPr>
          <w:i/>
          <w:iCs/>
          <w:sz w:val="21"/>
          <w:szCs w:val="21"/>
        </w:rPr>
        <w:t>New England Journal of Medicine</w:t>
      </w:r>
      <w:r>
        <w:rPr>
          <w:sz w:val="21"/>
          <w:szCs w:val="21"/>
        </w:rPr>
        <w:t>, 328(5), 303–307. https://doi.org/10.1056/NEJM199302043280502</w:t>
      </w:r>
    </w:p>
    <w:p w14:paraId="7A80B31C" w14:textId="77777777" w:rsidR="00E17B4B" w:rsidRDefault="00000000">
      <w:pPr>
        <w:spacing w:after="140"/>
        <w:ind w:left="720" w:hanging="720"/>
        <w:jc w:val="both"/>
      </w:pPr>
      <w:r>
        <w:rPr>
          <w:sz w:val="21"/>
          <w:szCs w:val="21"/>
        </w:rPr>
        <w:t xml:space="preserve">Ye, L., Pien, G. W., Ratcliffe, S. J., Björnsdóttir, E., Arnardottir, E. S., Pack, A. I., Benediktsdóttir, B., &amp; Gislason, T. (2014). The different clinical faces of obstructive sleep apnoea: a cluster analysis. </w:t>
      </w:r>
      <w:r>
        <w:rPr>
          <w:i/>
          <w:iCs/>
          <w:sz w:val="21"/>
          <w:szCs w:val="21"/>
        </w:rPr>
        <w:t>European Respiratory Journal</w:t>
      </w:r>
      <w:r>
        <w:rPr>
          <w:sz w:val="21"/>
          <w:szCs w:val="21"/>
        </w:rPr>
        <w:t>, 44(6), 1600–1607. https://doi.org/10.1183/09031936.00032314</w:t>
      </w:r>
    </w:p>
    <w:p w14:paraId="36642871" w14:textId="77777777" w:rsidR="00E17B4B" w:rsidRDefault="00000000">
      <w:pPr>
        <w:spacing w:after="140"/>
        <w:ind w:left="720" w:hanging="720"/>
        <w:jc w:val="both"/>
      </w:pPr>
      <w:r>
        <w:rPr>
          <w:sz w:val="21"/>
          <w:szCs w:val="21"/>
        </w:rPr>
        <w:t xml:space="preserve">Yoon, H., &amp; Choi, S. H. (2023). Technologies for sleep monitoring at home: wearables and nearables. </w:t>
      </w:r>
      <w:r>
        <w:rPr>
          <w:i/>
          <w:iCs/>
          <w:sz w:val="21"/>
          <w:szCs w:val="21"/>
        </w:rPr>
        <w:t>Biomedical Engineering Letters</w:t>
      </w:r>
      <w:r>
        <w:rPr>
          <w:sz w:val="21"/>
          <w:szCs w:val="21"/>
        </w:rPr>
        <w:t>, 13(3), 313–327. https://doi.org/10.1007/s13534-023-00305-8</w:t>
      </w:r>
    </w:p>
    <w:p w14:paraId="3B7046DA" w14:textId="77777777" w:rsidR="00E17B4B" w:rsidRDefault="00000000">
      <w:pPr>
        <w:spacing w:after="140"/>
        <w:ind w:left="720" w:hanging="720"/>
        <w:jc w:val="both"/>
      </w:pPr>
      <w:r>
        <w:rPr>
          <w:sz w:val="21"/>
          <w:szCs w:val="21"/>
        </w:rPr>
        <w:t xml:space="preserve">Young, T., Palta, M., Dempsey, J., Skatrud, J., Weber, S., &amp; Badr, S. (1993). The occurrence of sleep-disordered breathing among middle-aged adults. </w:t>
      </w:r>
      <w:r>
        <w:rPr>
          <w:i/>
          <w:iCs/>
          <w:sz w:val="21"/>
          <w:szCs w:val="21"/>
        </w:rPr>
        <w:t>New England Journal of Medicine</w:t>
      </w:r>
      <w:r>
        <w:rPr>
          <w:sz w:val="21"/>
          <w:szCs w:val="21"/>
        </w:rPr>
        <w:t>, 328(17), 1230–1235. https://doi.org/10.1056/NEJM199304293281704</w:t>
      </w:r>
    </w:p>
    <w:p w14:paraId="5D5ADDD4" w14:textId="77777777" w:rsidR="00E17B4B" w:rsidRDefault="00000000">
      <w:pPr>
        <w:spacing w:after="140"/>
        <w:ind w:left="720" w:hanging="720"/>
        <w:jc w:val="both"/>
      </w:pPr>
      <w:r>
        <w:rPr>
          <w:sz w:val="21"/>
          <w:szCs w:val="21"/>
        </w:rPr>
        <w:t xml:space="preserve">Zinchuk, A. V., &amp; Yaggi, H. K. (2020). Phenotypic subtypes of OSA: a challenge and opportunity for precision medicine. </w:t>
      </w:r>
      <w:r>
        <w:rPr>
          <w:i/>
          <w:iCs/>
          <w:sz w:val="21"/>
          <w:szCs w:val="21"/>
        </w:rPr>
        <w:t>Chest</w:t>
      </w:r>
      <w:r>
        <w:rPr>
          <w:sz w:val="21"/>
          <w:szCs w:val="21"/>
        </w:rPr>
        <w:t>, 157(2), 403–420. https://doi.org/10.1016/j.chest.2019.09.002</w:t>
      </w:r>
    </w:p>
    <w:p w14:paraId="01FCF68B" w14:textId="77777777" w:rsidR="00E17B4B" w:rsidRDefault="00E17B4B">
      <w:pPr>
        <w:spacing w:before="200"/>
      </w:pPr>
    </w:p>
    <w:p w14:paraId="608AF4E2" w14:textId="77777777" w:rsidR="00E17B4B" w:rsidRDefault="00000000">
      <w:pPr>
        <w:pBdr>
          <w:top w:val="single" w:sz="4" w:space="0" w:color="D1D5DB"/>
        </w:pBdr>
        <w:spacing w:before="320" w:after="80"/>
        <w:jc w:val="right"/>
      </w:pPr>
      <w:r>
        <w:rPr>
          <w:i/>
          <w:iCs/>
          <w:color w:val="6B7280"/>
          <w:sz w:val="18"/>
          <w:szCs w:val="18"/>
        </w:rPr>
        <w:t>Continúa en Capítulo 3 — Materiales y Métodos</w:t>
      </w:r>
    </w:p>
    <w:sectPr w:rsidR="00E17B4B">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2F433" w14:textId="77777777" w:rsidR="00D96CA8" w:rsidRDefault="00D96CA8">
      <w:r>
        <w:separator/>
      </w:r>
    </w:p>
  </w:endnote>
  <w:endnote w:type="continuationSeparator" w:id="0">
    <w:p w14:paraId="437896A8" w14:textId="77777777" w:rsidR="00D96CA8" w:rsidRDefault="00D96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AF10" w14:textId="77777777" w:rsidR="00E17B4B"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B73546">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CA04F" w14:textId="77777777" w:rsidR="00D96CA8" w:rsidRDefault="00D96CA8">
      <w:r>
        <w:separator/>
      </w:r>
    </w:p>
  </w:footnote>
  <w:footnote w:type="continuationSeparator" w:id="0">
    <w:p w14:paraId="17E981D7" w14:textId="77777777" w:rsidR="00D96CA8" w:rsidRDefault="00D96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4FAA" w14:textId="2293303C" w:rsidR="00E17B4B"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2 — Marco Teórico  (v0</w:t>
    </w:r>
    <w:r w:rsidR="00F33EC4">
      <w:rPr>
        <w:i/>
        <w:iCs/>
        <w:color w:val="6B7280"/>
        <w:sz w:val="18"/>
        <w:szCs w:val="18"/>
      </w:rPr>
      <w:t>4</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B0E"/>
    <w:multiLevelType w:val="hybridMultilevel"/>
    <w:tmpl w:val="B2E44926"/>
    <w:lvl w:ilvl="0" w:tplc="CE9E2026">
      <w:start w:val="1"/>
      <w:numFmt w:val="bullet"/>
      <w:lvlText w:val="•"/>
      <w:lvlJc w:val="left"/>
      <w:pPr>
        <w:spacing w:before="40" w:after="80"/>
        <w:ind w:left="720" w:hanging="360"/>
      </w:pPr>
    </w:lvl>
    <w:lvl w:ilvl="1" w:tplc="BA2CB6BE">
      <w:numFmt w:val="decimal"/>
      <w:lvlText w:val=""/>
      <w:lvlJc w:val="left"/>
    </w:lvl>
    <w:lvl w:ilvl="2" w:tplc="057A9104">
      <w:numFmt w:val="decimal"/>
      <w:lvlText w:val=""/>
      <w:lvlJc w:val="left"/>
    </w:lvl>
    <w:lvl w:ilvl="3" w:tplc="E89096DA">
      <w:numFmt w:val="decimal"/>
      <w:lvlText w:val=""/>
      <w:lvlJc w:val="left"/>
    </w:lvl>
    <w:lvl w:ilvl="4" w:tplc="CF8A81E2">
      <w:numFmt w:val="decimal"/>
      <w:lvlText w:val=""/>
      <w:lvlJc w:val="left"/>
    </w:lvl>
    <w:lvl w:ilvl="5" w:tplc="57EC7132">
      <w:numFmt w:val="decimal"/>
      <w:lvlText w:val=""/>
      <w:lvlJc w:val="left"/>
    </w:lvl>
    <w:lvl w:ilvl="6" w:tplc="0CBA7FF2">
      <w:numFmt w:val="decimal"/>
      <w:lvlText w:val=""/>
      <w:lvlJc w:val="left"/>
    </w:lvl>
    <w:lvl w:ilvl="7" w:tplc="E2487CEC">
      <w:numFmt w:val="decimal"/>
      <w:lvlText w:val=""/>
      <w:lvlJc w:val="left"/>
    </w:lvl>
    <w:lvl w:ilvl="8" w:tplc="10840FE4">
      <w:numFmt w:val="decimal"/>
      <w:lvlText w:val=""/>
      <w:lvlJc w:val="left"/>
    </w:lvl>
  </w:abstractNum>
  <w:abstractNum w:abstractNumId="1" w15:restartNumberingAfterBreak="0">
    <w:nsid w:val="08DF73DB"/>
    <w:multiLevelType w:val="hybridMultilevel"/>
    <w:tmpl w:val="C0F4F572"/>
    <w:lvl w:ilvl="0" w:tplc="BCEC2B10">
      <w:start w:val="1"/>
      <w:numFmt w:val="bullet"/>
      <w:lvlText w:val="●"/>
      <w:lvlJc w:val="left"/>
      <w:pPr>
        <w:ind w:left="720" w:hanging="360"/>
      </w:pPr>
    </w:lvl>
    <w:lvl w:ilvl="1" w:tplc="48567732">
      <w:start w:val="1"/>
      <w:numFmt w:val="bullet"/>
      <w:lvlText w:val="○"/>
      <w:lvlJc w:val="left"/>
      <w:pPr>
        <w:ind w:left="1440" w:hanging="360"/>
      </w:pPr>
    </w:lvl>
    <w:lvl w:ilvl="2" w:tplc="2A1017CA">
      <w:start w:val="1"/>
      <w:numFmt w:val="bullet"/>
      <w:lvlText w:val="■"/>
      <w:lvlJc w:val="left"/>
      <w:pPr>
        <w:ind w:left="2160" w:hanging="360"/>
      </w:pPr>
    </w:lvl>
    <w:lvl w:ilvl="3" w:tplc="1752FFC8">
      <w:start w:val="1"/>
      <w:numFmt w:val="bullet"/>
      <w:lvlText w:val="●"/>
      <w:lvlJc w:val="left"/>
      <w:pPr>
        <w:ind w:left="2880" w:hanging="360"/>
      </w:pPr>
    </w:lvl>
    <w:lvl w:ilvl="4" w:tplc="616E13F6">
      <w:start w:val="1"/>
      <w:numFmt w:val="bullet"/>
      <w:lvlText w:val="○"/>
      <w:lvlJc w:val="left"/>
      <w:pPr>
        <w:ind w:left="3600" w:hanging="360"/>
      </w:pPr>
    </w:lvl>
    <w:lvl w:ilvl="5" w:tplc="28CC8582">
      <w:start w:val="1"/>
      <w:numFmt w:val="bullet"/>
      <w:lvlText w:val="■"/>
      <w:lvlJc w:val="left"/>
      <w:pPr>
        <w:ind w:left="4320" w:hanging="360"/>
      </w:pPr>
    </w:lvl>
    <w:lvl w:ilvl="6" w:tplc="465827E6">
      <w:start w:val="1"/>
      <w:numFmt w:val="bullet"/>
      <w:lvlText w:val="●"/>
      <w:lvlJc w:val="left"/>
      <w:pPr>
        <w:ind w:left="5040" w:hanging="360"/>
      </w:pPr>
    </w:lvl>
    <w:lvl w:ilvl="7" w:tplc="05AE2760">
      <w:start w:val="1"/>
      <w:numFmt w:val="bullet"/>
      <w:lvlText w:val="●"/>
      <w:lvlJc w:val="left"/>
      <w:pPr>
        <w:ind w:left="5760" w:hanging="360"/>
      </w:pPr>
    </w:lvl>
    <w:lvl w:ilvl="8" w:tplc="ECDC3CCC">
      <w:start w:val="1"/>
      <w:numFmt w:val="bullet"/>
      <w:lvlText w:val="●"/>
      <w:lvlJc w:val="left"/>
      <w:pPr>
        <w:ind w:left="6480" w:hanging="360"/>
      </w:pPr>
    </w:lvl>
  </w:abstractNum>
  <w:num w:numId="1" w16cid:durableId="18367288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B4B"/>
    <w:rsid w:val="002474A0"/>
    <w:rsid w:val="002A05E2"/>
    <w:rsid w:val="003769C0"/>
    <w:rsid w:val="00392FFC"/>
    <w:rsid w:val="0044129A"/>
    <w:rsid w:val="00636BD1"/>
    <w:rsid w:val="00793BB4"/>
    <w:rsid w:val="00842A0C"/>
    <w:rsid w:val="008B06AD"/>
    <w:rsid w:val="00B73546"/>
    <w:rsid w:val="00C447FA"/>
    <w:rsid w:val="00CD619A"/>
    <w:rsid w:val="00CF3337"/>
    <w:rsid w:val="00D96CA8"/>
    <w:rsid w:val="00DD4145"/>
    <w:rsid w:val="00E17B4B"/>
    <w:rsid w:val="00E44B35"/>
    <w:rsid w:val="00EC53B2"/>
    <w:rsid w:val="00F33E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AE60DB9"/>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1">
    <w:name w:val="p1"/>
    <w:basedOn w:val="Normal"/>
    <w:rsid w:val="00CF3337"/>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Fuentedeprrafopredeter"/>
    <w:rsid w:val="00C447FA"/>
  </w:style>
  <w:style w:type="paragraph" w:styleId="NormalWeb">
    <w:name w:val="Normal (Web)"/>
    <w:basedOn w:val="Normal"/>
    <w:uiPriority w:val="99"/>
    <w:semiHidden/>
    <w:unhideWhenUsed/>
    <w:rsid w:val="00EC53B2"/>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EC53B2"/>
    <w:rPr>
      <w:i/>
      <w:iCs/>
    </w:rPr>
  </w:style>
  <w:style w:type="paragraph" w:styleId="Encabezado">
    <w:name w:val="header"/>
    <w:basedOn w:val="Normal"/>
    <w:link w:val="EncabezadoCar"/>
    <w:uiPriority w:val="99"/>
    <w:unhideWhenUsed/>
    <w:rsid w:val="00F33EC4"/>
    <w:pPr>
      <w:tabs>
        <w:tab w:val="center" w:pos="4419"/>
        <w:tab w:val="right" w:pos="8838"/>
      </w:tabs>
    </w:pPr>
  </w:style>
  <w:style w:type="character" w:customStyle="1" w:styleId="EncabezadoCar">
    <w:name w:val="Encabezado Car"/>
    <w:basedOn w:val="Fuentedeprrafopredeter"/>
    <w:link w:val="Encabezado"/>
    <w:uiPriority w:val="99"/>
    <w:rsid w:val="00F33EC4"/>
  </w:style>
  <w:style w:type="paragraph" w:styleId="Piedepgina">
    <w:name w:val="footer"/>
    <w:basedOn w:val="Normal"/>
    <w:link w:val="PiedepginaCar"/>
    <w:uiPriority w:val="99"/>
    <w:unhideWhenUsed/>
    <w:rsid w:val="00F33EC4"/>
    <w:pPr>
      <w:tabs>
        <w:tab w:val="center" w:pos="4419"/>
        <w:tab w:val="right" w:pos="8838"/>
      </w:tabs>
    </w:pPr>
  </w:style>
  <w:style w:type="character" w:customStyle="1" w:styleId="PiedepginaCar">
    <w:name w:val="Pie de página Car"/>
    <w:basedOn w:val="Fuentedeprrafopredeter"/>
    <w:link w:val="Piedepgina"/>
    <w:uiPriority w:val="99"/>
    <w:rsid w:val="00F33E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3725</Words>
  <Characters>21649</Characters>
  <Application>Microsoft Office Word</Application>
  <DocSecurity>0</DocSecurity>
  <Lines>432</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16</cp:revision>
  <dcterms:created xsi:type="dcterms:W3CDTF">2026-05-22T11:11:00Z</dcterms:created>
  <dcterms:modified xsi:type="dcterms:W3CDTF">2026-05-22T11:51:00Z</dcterms:modified>
</cp:coreProperties>
</file>