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05  ·  Mayo 2026</w:t>
      </w:r>
    </w:p>
    <w:p>
      <w:pPr>
        <w:spacing w:after="160" w:before="0" w:line="240" w:lineRule="auto"/>
        <w:ind w:firstLine="720"/>
        <w:jc w:val="both"/>
      </w:pPr>
      <w:r>
        <w:rPr>
          <w:rFonts w:ascii="Arial" w:cs="Arial" w:eastAsia="Arial" w:hAnsi="Arial"/>
          <w:sz w:val="22"/>
          <w:szCs w:val="22"/>
        </w:rPr>
        <w:t xml:space="preserve">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Los índices clásicos de severidad del SAOS incluyen el AHI y el ODI —índices de frecuencia que expresan el número de eventos por hora— y el T90, que cuantifica la carga hipóxica temporal como porcentaje del tiempo de sueño con SpO₂ por debajo del 90%. Sus definiciones y limitaciones estructurales se presentan en el Capítulo 1. La literatura reciente ha propuesto además la carga hipóxica o hypoxic burden (HB) como métrica complementaria que integra frecuencia, profundidad y duración de las desaturaciones, con mayor asociación con eventos cardiovasculares adversos que los índices de frecuencia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subyacentes 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múltiples señales fisiológicas durante una noche completa, incluyendo actividad cerebral, movimientos oculares, tono muscular, flujo aéreo, esfuerzo ventilatorio, saturación de oxígeno, electrocardiograma y posición corporal. Aunque posee alta capacidad diagnóstica, su acceso es limitado por el coste, la necesidad de desplazamiento, las condiciones artificiales de sueño y el hecho de producir habitualmente un único registro (Kapur et al., 2017). Frente a ello, el monitoreo domiciliario portátil permite registrar señales fisiológicas en condiciones naturales y durante múltiples noches consecutivas, con menor coste, aunque con un conjunto más reducido de variables (Collop et al., 2007).</w:t>
      </w:r>
    </w:p>
    <w:p>
      <w:pPr>
        <w:spacing w:after="160" w:before="0" w:line="240" w:lineRule="auto"/>
        <w:ind w:firstLine="720"/>
        <w:jc w:val="both"/>
      </w:pPr>
      <w:r>
        <w:rPr>
          <w:rFonts w:ascii="Arial" w:cs="Arial" w:eastAsia="Arial" w:hAnsi="Arial"/>
          <w:sz w:val="22"/>
          <w:szCs w:val="22"/>
        </w:rPr>
        <w:t xml:space="preserve">Desde el punto de vista analítico, las tres señales registradas cumplen roles complementarios en el pipeline. La SpO₂ permite capturar la dinámica de cada desaturación (pendiente de caída, profundidad, forma y recuperación), por lo que constituye la señal primaria para el análisis morfológico. La frecuencia cardíaca aporta información sobre la respuesta autonómica evento a evento, mientras que el movimiento corporal, de interpretación más contextual, contribuye a inferir postura y detectar activaciones motoras asociadas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del paciente. La misma persona puede presentar perfiles fisiológicos marcadamente distintos entre noches en función de factores como la postura, el consumo de alcohol o el estado de fatiga (Levendowski et al., 2009; Bittencourt et al., 2001), lo que convierte la variabilidad intraindividual en información con valor propio, no en ruido a eliminar,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pPr>
        <w:spacing w:after="160" w:before="0" w:line="240" w:lineRule="auto"/>
        <w:ind w:firstLine="720"/>
        <w:jc w:val="both"/>
      </w:pPr>
      <w:r>
        <w:rPr>
          <w:rFonts w:ascii="Arial" w:cs="Arial" w:eastAsia="Arial" w:hAnsi="Arial"/>
          <w:sz w:val="22"/>
          <w:szCs w:val="22"/>
        </w:rPr>
        <w:t xml:space="preserve">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Aun así, las señales de SpO₂, frecuencia cardíaca y movimiento son suficientes para analizar la morfología y dinámica de los eventos de desaturación, especialmente si se aprovechan mediante pipelines reproducibles adaptados a datos longitudinales multinoche.</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Los estándares de puntuación de eventos respiratorios durante el sueño —como los criterios de la Academia Americana de Medicina del Sueño (Berry et al., 2012)— proporcionan un marco de referencia para estas definiciones, aunque su aplicación en oximetría domiciliaria requiere adaptaciones metodológicas explícitas. La definición operacional de los umbrales —qué constituye un evento, cuándo comienza y cuándo termina, cómo se segmenta la curva completa— tiene un impacto directo sobre el número de eventos detectados, sus características métricas y la calidad de los análisis posteriores.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w:t>
      </w:r>
    </w:p>
    <w:p>
      <w:pPr>
        <w:spacing w:after="160" w:before="0" w:line="240" w:lineRule="auto"/>
        <w:ind w:firstLine="720"/>
        <w:jc w:val="both"/>
      </w:pPr>
      <w:r>
        <w:rPr>
          <w:rFonts w:ascii="Arial" w:cs="Arial" w:eastAsia="Arial" w:hAnsi="Arial"/>
          <w:sz w:val="22"/>
          <w:szCs w:val="22"/>
        </w:rPr>
        <w:t xml:space="preserve">La frecuencia cardíaca ofrece una dimensión complementaria al análisis morfológico de la SpO₂. Cada episodio obstructivo desencadena una respuesta autonómica característica: la hipoxia activa el sistema nervioso simpático y produce un aumento transitorio de la FC cuya latencia, magnitud y velocidad de recuperación son cuantificables a partir de la señal continua (Somers et al., 1993; Dempsey et al., 2010). Esta respuesta autonómica evento a evento es fisiológicamente independiente de la profundidad de la desaturación y aporta información sobre el estado del sistema nervioso autónomo que no está contenida en los índices de oximetría. Su cuantificación a escala de evento permite construir índices de respuesta autonómica que son, por construcción, ortogonales a los índices de frecuencia y severidad derivados de la SpO₂, y cuya relación con los fenotipos clínicos del síndrome puede evaluarse de forma independiente.</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o los patrones de actividad-reposo en actigrafía de larga duración.</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La definición de los estados mediante agrupamiento no supervisado permite que emerjan de los datos mismos, sin imponer categorías clínicas a priori. Los métodos de reducción de dimensionalidad y agrupamiento que hacen posible tanto el fenotipado morfológico como la construcción de sistemas de estados dinámicos se describen en la sección siguiente.</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El marco conceptual revisado en este capítulo —fisiopatología del SAOS, características del monitoreo domiciliario con oximetría portátil, propiedades de las series temporales fisiológicas nocturnas y fundamentos del aprendizaje automático aplicado a señales biomédicas— establece la base conceptual sobre la que se construye el diseño metodológico del proyecto. El capítulo siguiente describe los materiales y métodos: la cohorte de pacientes, el diseño del pipeline PAC_v3 con su arquitectura de procesamiento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2026-05-23T21:11:28.969Z</dcterms:created>
  <dcterms:modified xsi:type="dcterms:W3CDTF">2026-05-23T21:11:28.982Z</dcterms:modified>
</cp:coreProperties>
</file>

<file path=docProps/custom.xml><?xml version="1.0" encoding="utf-8"?>
<Properties xmlns="http://schemas.openxmlformats.org/officeDocument/2006/custom-properties" xmlns:vt="http://schemas.openxmlformats.org/officeDocument/2006/docPropsVTypes"/>
</file>