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06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múltiples señales fisiológicas durante una noche completa: actividad cerebral, movimientos oculares, tono muscular, flujo aéreo, esfuerzo ventilatorio, saturación de oxígeno, electrocardiograma y posición corporal. Su capacidad diagnóstica es elevada, pero su acceso es limitado: implica coste elevado, desplazamiento al laboratorio, condiciones de sueño artificiales y, en la práctica habitual, un único registro por episodio (Kapur et al., 2017). Frente a estas restricciones, el monitoreo domiciliario con oximetría portátil —cuyas características de adquisición se describen en el Capítulo 1— ofrece desde el punto de vista analítico un compromiso diferente: señales continuas adquiridas en condiciones reales del paciente y durante noches consecutivas, a expensas de un subconjunto más reducido de variables medidas (Collop et al., 2007). La caracterización de las propiedades analíticas de ese subconjunto es el objeto de esta sección.</w:t>
      </w:r>
    </w:p>
    <w:p>
      <w:pPr>
        <w:spacing w:after="160" w:before="0" w:line="240" w:lineRule="auto"/>
        <w:ind w:firstLine="720"/>
        <w:jc w:val="both"/>
      </w:pPr>
      <w:r>
        <w:rPr>
          <w:rFonts w:ascii="Arial" w:cs="Arial" w:eastAsia="Arial" w:hAnsi="Arial"/>
          <w:sz w:val="22"/>
          <w:szCs w:val="22"/>
        </w:rPr>
        <w:t xml:space="preserve">Las tres señales disponibles —SpO₂, frecuencia cardíaca y movimiento— tienen roles analíticos distintos y complementarios que condicionan el diseño del pipeline. La SpO₂ es la señal primaria: su resolución temporal permite representar la curva completa de cada evento de desaturación y capturar las dimensiones morfológicas que los índices agregados no preservan —pendiente de caída, profundidad máxima y forma de la recuperación. La frecuencia cardíaca opera como señal secundaria: con latencia de segundos respecto al evento, refleja la activación simpática asociada y provee la base para la cuantificación de la respuesta autonómica evento a evento. El movimiento corporal es una señal auxiliar de interpretación más contextual: integra información postural, motora y respiratoria, y resulta útil para inferir la postura predominante y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misma persona puede presentar perfiles fisiológicos marcadamente distintos entre noches en función de factores como la postura, el consumo de alcohol o el estado de fatiga (Levendowski et al., 2009; Bittencourt et al., 2001), lo que convierte la variabilidad intraindividual en información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Aun así, las señales de SpO₂, frecuencia cardíaca y movimiento son suficientes para analizar la morfología y dinámica de los eventos de desaturación, especialmente si se aprovechan mediante pipelines reproducibles adaptados a datos longitudinales multinoche.</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es fisiológicamente independiente de la profundidad de la desaturación y aporta información sobre el estado del sistema nervioso autónomo que no está contenida en los índices de oximetría. Su cuantificación a escala de evento permite construir índices de respuesta autonómica que son, por construcción, ortogonales a los índices de frecuencia y severidad derivados de la SpO₂, y cuya relación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o los patrones de actividad-reposo en actigrafía de larga duración.</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El marco conceptual revisado en este capítulo —fisiopatología del SAOS, características del monitoreo domiciliario con oximetría portátil, propiedades de las series temporales fisiológicas nocturnas y fundamentos del aprendizaje automático aplicado a señales biomédicas— establece la base conceptual sobre la que se construye el diseño metodológico del proyecto. El capítulo siguiente describe los materiales y métodos: la cohorte de pacientes, el diseño del pipeline PAC_v3 con su arquitectura de procesamiento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2026-05-23T21:18:07.933Z</dcterms:created>
  <dcterms:modified xsi:type="dcterms:W3CDTF">2026-05-23T21:18:07.938Z</dcterms:modified>
</cp:coreProperties>
</file>

<file path=docProps/custom.xml><?xml version="1.0" encoding="utf-8"?>
<Properties xmlns="http://schemas.openxmlformats.org/officeDocument/2006/custom-properties" xmlns:vt="http://schemas.openxmlformats.org/officeDocument/2006/docPropsVTypes"/>
</file>