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08  ·  Mayo 2026</w:t>
      </w:r>
    </w:p>
    <w:p>
      <w:pPr>
        <w:spacing w:after="160" w:before="0" w:line="240" w:lineRule="auto"/>
        <w:ind w:firstLine="720"/>
        <w:jc w:val="both"/>
      </w:pPr>
      <w:r>
        <w:rPr>
          <w:rFonts w:ascii="Arial" w:cs="Arial" w:eastAsia="Arial" w:hAnsi="Arial"/>
          <w:sz w:val="22"/>
          <w:szCs w:val="22"/>
        </w:rPr>
        <w:t xml:space="preserve">El diseño metodológico del Proyecto APNEA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pPr>
        <w:pStyle w:val="Heading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reducción o cese del flujo aéreo pese al esfuerzo ventilatorio. Estos episodios generan desaturaciones de oxígeno, activaciones autonómicas y microdespertares que fragmentan el sueño. Su prevalencia en adultos se estima entre el 15 y el 30%, según los criterios diagnósticos, con tasas mayores en varones de mediana edad, personas con obesidad o hipertensión arterial (Young et al., 1993; Peppard et al., 2013; Benjafield et al., 2019). Pese a ello, el síndrome permanece subdiagnosticado por las dificultades de acceso al estudio de sueño y el bajo reconocimiento clínico de los síntomas.</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y neuromusculares que condicionan la apertura de la vía aérea durante el sueño. Cada episodio obstructivo genera hipoxia transitoria, activa el sistema nervioso simpático, eleva la presión arterial y aumenta la frecuencia cardíaca (Somers et al., 1993). La repetición crónica de estos eventos favorece inflamación, disfunción endotelial y remodelado cardiovascular, lo que explica su asociación con hipertensión, arritmias, accidente cerebrovascular y mayor mortalidad cardiovascular (Shamsuzzaman et al., 2003; Marin et al., 2005; Punjabi et al., 2009). Por ello, la activación autonómica asociada a cada evento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Los índices clásicos de severidad del SAOS incluyen el AHI y el ODI —índices de frecuencia que expresan el número de eventos por hora— y el T90, que cuantifica la carga hipóxica temporal como porcentaje del tiempo de sueño con SpO₂ por debajo del 90%. Sus definiciones y limitaciones estructurales se presentan en el Capítulo 1. La literatura reciente ha propuesto además la carga hipóxica o hypoxic burden (HB) como métrica complementaria que integra frecuencia, profundidad y duración de las desaturaciones, con mayor asociación con eventos cardiovasculares adversos que los índices de frecuencia aislados (Azarbarzin et al., 2019). A esto se suma la variabilidad noche a noche dentro de un mismo paciente, que puede ser considerable y limitar la interpretación basada en un único registro (Levendowski et al., 2009; Bittencourt et al., 2001; Malhotra et al., 2021). Esta variabilidad refuerza la necesidad de análisis longitudinales multinoche y de representaciones dinámicas que capturen la estructura del sueño más allá del estudio aislado.</w:t>
      </w:r>
    </w:p>
    <w:p>
      <w:pPr>
        <w:spacing w:after="160" w:before="0" w:line="240" w:lineRule="auto"/>
        <w:ind w:firstLine="720"/>
        <w:jc w:val="both"/>
      </w:pPr>
      <w:r>
        <w:rPr>
          <w:rFonts w:ascii="Arial" w:cs="Arial" w:eastAsia="Arial" w:hAnsi="Arial"/>
          <w:sz w:val="22"/>
          <w:szCs w:val="22"/>
        </w:rPr>
        <w:t xml:space="preserve">La heterogeneidad clínica y fisiopatológica del SAOS ha impulsado investigaciones orientadas a identificar fenotipos de pacientes con perfiles diferenciados. Diversos estudios han agrupado pacientes según variables clínicas, polisomnográficas o de respuesta terapéutica, describiendo entre tres y cinco subtipos distintivos (Ye et al., 2014; Bailly et al., 2016; Zinchuk &amp; Yaggi, 2020). Otros enfoques se centran en mecanismos fisiopatológicos subyacentes como el umbral de activación, la ganancia del lazo ventilatorio, la compensación muscular y el umbral de apnea, dimensiones que caracterizan al paciente más allá de la severidad agregada (Eckert et al., 2013). En conjunto, estos trabajos sugieren que el análisis detallado de señales nocturnas continuas, especialmente mediante oximetría domiciliaria multinoche, podría aportar una caracterización más fina del síndrome.</w:t>
      </w:r>
    </w:p>
    <w:p>
      <w:pPr>
        <w:pStyle w:val="Heading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múltiples señales fisiológicas durante una noche completa: actividad cerebral, movimientos oculares, tono muscular, flujo aéreo, esfuerzo ventilatorio, saturación de oxígeno, electrocardiograma y posición corporal. Su capacidad diagnóstica es elevada, pero su acceso es limitado: implica coste elevado, desplazamiento al laboratorio, condiciones de sueño artificiales y, en la práctica habitual, un único registro por episodio (Kapur et al., 2017). Frente a estas restricciones, el monitoreo domiciliario con oximetría portátil —cuyas características de adquisición se describen en el Capítulo 1— ofrece desde el punto de vista analítico un compromiso diferente: señales continuas adquiridas en condiciones reales del paciente y durante noches consecutivas, a expensas de un subconjunto más reducido de variables medidas (Collop et al., 2007). La caracterización de las propiedades analíticas de ese subconjunto es el objeto de esta sección.</w:t>
      </w:r>
    </w:p>
    <w:p>
      <w:pPr>
        <w:spacing w:after="160" w:before="0" w:line="240" w:lineRule="auto"/>
        <w:ind w:firstLine="720"/>
        <w:jc w:val="both"/>
      </w:pPr>
      <w:r>
        <w:rPr>
          <w:rFonts w:ascii="Arial" w:cs="Arial" w:eastAsia="Arial" w:hAnsi="Arial"/>
          <w:sz w:val="22"/>
          <w:szCs w:val="22"/>
        </w:rPr>
        <w:t xml:space="preserve">Las tres señales disponibles —SpO₂, frecuencia cardíaca y movimiento— tienen roles analíticos distintos y complementarios que condicionan el diseño del pipeline. La SpO₂ es la señal primaria: su resolución temporal permite representar la curva completa de cada evento de desaturación y capturar las dimensiones morfológicas que los índices agregados no preservan —pendiente de caída, profundidad máxima y forma de la recuperación. La frecuencia cardíaca opera como señal secundaria: con latencia de segundos respecto al evento, refleja la activación simpática asociada y provee la base para la cuantificación de la respuesta autonómica evento a evento. El movimiento corporal es una señal auxiliar de interpretación más contextual: integra información postural, motora y respiratoria, y resulta útil para inferir la postura predominante y detectar activaciones motoras vinculadas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del paciente. La variabilidad intraindividual señalada en la sección 2.1 —que puede ser considerable y depende de factores como la postura, el consumo de alcohol o el estado de fatiga— convierte cada noche en una observación con valor propio, no en ruido a eliminar, tanto para la caracterización del paciente individual como para el análisis metodológico. Desde este último punto de vista, una cohorte multinoche genera un volumen de datos considerablemente mayor, lo que favorece la estabilidad de las representaciones no supervisadas y podría mejorar la robustez de los modelos predictivos; aunque con la salvedad de que las noches de un mismo paciente no son independientes, lo que acota el número efectivo de unidades de análisis al número de pacientes y condiciona el diseño de la validación, como se desarrolla en la sección 2.4.</w:t>
      </w:r>
    </w:p>
    <w:p>
      <w:pPr>
        <w:spacing w:after="160" w:before="0" w:line="240" w:lineRule="auto"/>
        <w:ind w:firstLine="720"/>
        <w:jc w:val="both"/>
      </w:pPr>
      <w:r>
        <w:rPr>
          <w:rFonts w:ascii="Arial" w:cs="Arial" w:eastAsia="Arial" w:hAnsi="Arial"/>
          <w:sz w:val="22"/>
          <w:szCs w:val="22"/>
        </w:rPr>
        <w:t xml:space="preserve">Los registros domiciliarios también presentan limitaciones analíticas. La calidad de señal es más variable que en el laboratorio, con artefactos de movimiento, desconexiones del sensor y cambios posturales que pueden generar segmentos no interpretables, por lo que requieren criterios explícitos de control de calidad. Además, la ausencia de EEG impide estadificar directamente las fases del sueño. El monitoreo domiciliario con oximetría no reemplaza a la PSG para el diagnóstico integral del SAOS, sino que habilita un enfoque complementario: el análisis longitudinal de la dinámica nocturna en condiciones reales de vida del paciente y a una escala temporal que la PSG, por diseño, no puede proporcionar. Las señales de SpO₂, frecuencia cardíaca y movimiento son suficientes para este análisis morfológico y dinámico, especialmente si se aprovechan mediante pipelines reproducibles adaptados a datos longitudinales multinoche.</w:t>
      </w:r>
    </w:p>
    <w:p>
      <w:pPr>
        <w:pStyle w:val="Heading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Los estándares de puntuación de eventos respiratorios durante el sueño —como los criterios de la Academia Americana de Medicina del Sueño (Berry et al., 2012)— proporcionan un marco de referencia para estas definiciones, aunque su aplicación en oximetría domiciliaria requiere adaptaciones metodológicas explícitas. La definición operacional de los umbrales —qué constituye un evento, cuándo comienza y cuándo termina, cómo se segmenta la curva completa— tiene un impacto directo sobre el número de eventos detectados, sus características métricas y la calidad de los análisis posteriores.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 (de Chazal et al., 2004).</w:t>
      </w:r>
    </w:p>
    <w:p>
      <w:pPr>
        <w:spacing w:after="160" w:before="0" w:line="240" w:lineRule="auto"/>
        <w:ind w:firstLine="720"/>
        <w:jc w:val="both"/>
      </w:pPr>
      <w:r>
        <w:rPr>
          <w:rFonts w:ascii="Arial" w:cs="Arial" w:eastAsia="Arial" w:hAnsi="Arial"/>
          <w:sz w:val="22"/>
          <w:szCs w:val="22"/>
        </w:rPr>
        <w:t xml:space="preserve">La frecuencia cardíaca ofrece una dimensión complementaria al análisis morfológico de la SpO₂. Cada episodio obstructivo desencadena una respuesta autonómica característica: la hipoxia activa el sistema nervioso simpático y produce un aumento transitorio de la FC cuya latencia, magnitud y velocidad de recuperación son cuantificables a partir de la señal continua (Somers et al., 1993; Dempsey et al., 2010). Esta respuesta autonómica evento a evento proviene de una dimensión fisiológica distinta a la de la desaturación de oxígeno, lo que la hace potencialmente complementaria y parcialmente independiente de los índices de frecuencia y severidad derivados de la SpO₂. Su cuantificación a escala de evento permite construir índices de respuesta autonómica cuya relación empírica con los índices de oximetría y con los fenotipos clínicos del síndrome puede evaluarse de forma independiente.</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(Task Force of the European Society of Cardiology, 1996) o los patrones de actividad-reposo en actigrafía de larga duración (Ancoli-Israel et al., 2003).</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(Acharya et al., 2006; Ancoli-Israel et al., 2003). La definición de los estados mediante agrupamiento no supervisado permite que emerjan de los datos mismos, sin imponer categorías clínicas a priori. Los métodos de reducción de dimensionalidad y agrupamiento que hacen posible tanto el fenotipado morfológico como la construcción de sistemas de estados dinámicos se describen en la sección siguiente.</w:t>
      </w:r>
    </w:p>
    <w:p>
      <w:pPr>
        <w:pStyle w:val="Heading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(Roberts et al., 2017).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Los cuatro dominios revisados en este capítulo convergen en justificar un enfoque de análisis que sea continuo —trabajando con la señal completa y no con índices agregados que colapsan la noche en un único valor—, multiescala —capturando la dinámica fisiológica a escalas de segundos, minutos y decenas de minutos de forma simultánea— y longitudinal —aprovechando la variabilidad intraindividual multinoche como información analítica con valor propio. Este es el marco sobre el que se apoya el Proyecto APNEA. El capítulo siguiente describe los materiales y métodos: la cohorte de pacientes, el diseño del pipeline PAC_v3 con su arquitectura de procesamiento en cuatro zonas y las decisiones de control de calidad de señal que dan forma al conjunto de datos analítico utilizado a lo largo del trabajo.</w:t>
      </w:r>
    </w:p>
    <w:p>
      <w:pPr>
        <w:spacing w:after="0" w:before="200"/>
      </w:pPr>
      <w:r>
        <w:t xml:space="preserve"/>
      </w:r>
    </w:p>
    <w:p>
      <w:pPr>
        <w:pStyle w:val="Heading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Acharya, U. R., Joseph, K. P., Kannathal, N., Lim, C. M., &amp; Suri, J. S. (2006). Heart rate variability: a review. </w:t>
      </w:r>
      <w:r>
        <w:rPr>
          <w:rFonts w:ascii="Arial" w:cs="Arial" w:eastAsia="Arial" w:hAnsi="Arial"/>
          <w:i/>
          <w:iCs/>
          <w:sz w:val="21"/>
          <w:szCs w:val="21"/>
        </w:rPr>
        <w:t xml:space="preserve">Medical and Biological Engineering and Computing</w:t>
      </w:r>
      <w:r>
        <w:rPr>
          <w:rFonts w:ascii="Arial" w:cs="Arial" w:eastAsia="Arial" w:hAnsi="Arial"/>
          <w:sz w:val="21"/>
          <w:szCs w:val="21"/>
        </w:rPr>
        <w:t xml:space="preserve">, 44(12), 1031–1051. https://doi.org/10.1007/s11517-006-0119-0</w:t>
      </w:r>
    </w:p>
    <w:p>
      <w:pPr>
        <w:spacing w:after="140" w:before="0" w:line="240" w:lineRule="auto"/>
        <w:ind w:left="720" w:hanging="720"/>
        <w:jc w:val="both"/>
      </w:pPr>
      <w:r>
        <w:rPr>
          <w:rFonts w:ascii="Arial" w:cs="Arial" w:eastAsia="Arial" w:hAnsi="Arial"/>
          <w:sz w:val="21"/>
          <w:szCs w:val="21"/>
        </w:rPr>
        <w:t xml:space="preserve">Ancoli-Israel, S., Cole, R., Alessi, C., Chambers, M., Moorcroft, W., &amp; Pollak, C. P. (2003). The role of actigraphy in the study of sleep and circadian rhythms. </w:t>
      </w:r>
      <w:r>
        <w:rPr>
          <w:rFonts w:ascii="Arial" w:cs="Arial" w:eastAsia="Arial" w:hAnsi="Arial"/>
          <w:i/>
          <w:iCs/>
          <w:sz w:val="21"/>
          <w:szCs w:val="21"/>
        </w:rPr>
        <w:t xml:space="preserve">Sleep</w:t>
      </w:r>
      <w:r>
        <w:rPr>
          <w:rFonts w:ascii="Arial" w:cs="Arial" w:eastAsia="Arial" w:hAnsi="Arial"/>
          <w:sz w:val="21"/>
          <w:szCs w:val="21"/>
        </w:rPr>
        <w:t xml:space="preserve">, 26(3), 342–392. https://doi.org/10.1093/sleep/26.3.342</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 Chazal, P., O'Dwyer, M., &amp; Reilly, R. B. (2004). Automatic classification of heartbeats using ECG morphology and heartbeat interval features. </w:t>
      </w:r>
      <w:r>
        <w:rPr>
          <w:rFonts w:ascii="Arial" w:cs="Arial" w:eastAsia="Arial" w:hAnsi="Arial"/>
          <w:i/>
          <w:iCs/>
          <w:sz w:val="21"/>
          <w:szCs w:val="21"/>
        </w:rPr>
        <w:t xml:space="preserve">IEEE Transactions on Biomedical Engineering</w:t>
      </w:r>
      <w:r>
        <w:rPr>
          <w:rFonts w:ascii="Arial" w:cs="Arial" w:eastAsia="Arial" w:hAnsi="Arial"/>
          <w:sz w:val="21"/>
          <w:szCs w:val="21"/>
        </w:rPr>
        <w:t xml:space="preserve">, 51(7), 1196–1206. https://doi.org/10.1109/TBME.2004.827359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rFonts w:ascii="Arial" w:cs="Arial" w:eastAsia="Arial" w:hAnsi="Arial"/>
          <w:i/>
          <w:iCs/>
          <w:sz w:val="21"/>
          <w:szCs w:val="21"/>
        </w:rPr>
        <w:t xml:space="preserve">Ecography</w:t>
      </w:r>
      <w:r>
        <w:rPr>
          <w:rFonts w:ascii="Arial" w:cs="Arial" w:eastAsia="Arial" w:hAnsi="Arial"/>
          <w:sz w:val="21"/>
          <w:szCs w:val="21"/>
        </w:rPr>
        <w:t xml:space="preserve">, 40(8), 913–929. https://doi.org/10.1111/ecog.02881</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Task Force of the European Society of Cardiology and the North American Society of Pacing and Electrophysiology. (1996). Heart rate variability: Standards of measurement, physiological interpretation, and clinical use. </w:t>
      </w:r>
      <w:r>
        <w:rPr>
          <w:rFonts w:ascii="Arial" w:cs="Arial" w:eastAsia="Arial" w:hAnsi="Arial"/>
          <w:i/>
          <w:iCs/>
          <w:sz w:val="21"/>
          <w:szCs w:val="21"/>
        </w:rPr>
        <w:t xml:space="preserve">Circulation</w:t>
      </w:r>
      <w:r>
        <w:rPr>
          <w:rFonts w:ascii="Arial" w:cs="Arial" w:eastAsia="Arial" w:hAnsi="Arial"/>
          <w:sz w:val="21"/>
          <w:szCs w:val="21"/>
        </w:rPr>
        <w:t xml:space="preserve">, 93(5), 1043–1065. https://doi.org/10.1161/01.CIR.93.5.1043</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2 — Marco Teórico  (v08)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2026-05-23T21:33:52.695Z</dcterms:created>
  <dcterms:modified xsi:type="dcterms:W3CDTF">2026-05-23T21:33:52.695Z</dcterms:modified>
</cp:coreProperties>
</file>

<file path=docProps/custom.xml><?xml version="1.0" encoding="utf-8"?>
<Properties xmlns="http://schemas.openxmlformats.org/officeDocument/2006/custom-properties" xmlns:vt="http://schemas.openxmlformats.org/officeDocument/2006/docPropsVTypes"/>
</file>