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aps/>
          <w:color w:val="6B7280"/>
          <w:sz w:val="20"/>
          <w:szCs w:val="20"/>
        </w:rPr>
        <w:t xml:space="preserve">CAPÍTULO 2</w:t>
      </w:r>
    </w:p>
    <w:p>
      <w:pPr>
        <w:spacing w:after="80" w:before="0"/>
      </w:pPr>
      <w:r>
        <w:rPr>
          <w:rFonts w:ascii="Arial" w:cs="Arial" w:eastAsia="Arial" w:hAnsi="Arial"/>
          <w:b/>
          <w:bCs/>
          <w:color w:val="1E3A5F"/>
          <w:sz w:val="36"/>
          <w:szCs w:val="36"/>
        </w:rPr>
        <w:t xml:space="preserve">Marco Teórico</w:t>
      </w:r>
    </w:p>
    <w:p>
      <w:pPr>
        <w:pBdr>
          <w:bottom w:val="single" w:color="1E3A5F" w:sz="6"/>
        </w:pBdr>
        <w:spacing w:after="400" w:before="0"/>
      </w:pPr>
      <w:r>
        <w:rPr>
          <w:rFonts w:ascii="Arial" w:cs="Arial" w:eastAsia="Arial" w:hAnsi="Arial"/>
          <w:i/>
          <w:iCs/>
          <w:color w:val="6B7280"/>
          <w:sz w:val="18"/>
          <w:szCs w:val="18"/>
        </w:rPr>
        <w:t xml:space="preserve">Versión 09  ·  Mayo 2026</w:t>
      </w:r>
    </w:p>
    <w:p>
      <w:pPr>
        <w:spacing w:after="160" w:before="0" w:line="240" w:lineRule="auto"/>
        <w:ind w:firstLine="720"/>
        <w:jc w:val="both"/>
      </w:pPr>
      <w:r>
        <w:rPr>
          <w:rFonts w:ascii="Arial" w:cs="Arial" w:eastAsia="Arial" w:hAnsi="Arial"/>
          <w:sz w:val="22"/>
          <w:szCs w:val="22"/>
        </w:rPr>
        <w:t xml:space="preserve">El diseño metodológico del Proyecto APNEA se apoya en cuatro dominios conceptuales articulados progresivamente: la clínica del síndrome, con su fisiopatología, índices de severidad y heterogeneidad; el monitoreo domiciliario con oximetría portátil y las propiedades de las señales disponibles; el análisis de series temporales fisiológicas, desde eventos individuales hasta la estructura multiescala de la noche; y el aprendizaje automático aplicado a señales biomédicas, incluyendo reducción de dimensionalidad, agrupamiento, predicción supervisada e interpretabilidad. Estos dominios constituyen el marco conceptual que sustenta los capítulos siguientes.</w:t>
      </w:r>
    </w:p>
    <w:p>
      <w:pPr>
        <w:pStyle w:val="Heading2"/>
        <w:spacing w:after="160" w:before="380"/>
      </w:pPr>
      <w:r>
        <w:rPr>
          <w:rFonts w:ascii="Arial" w:cs="Arial" w:eastAsia="Arial" w:hAnsi="Arial"/>
          <w:b/>
          <w:bCs/>
          <w:color w:val="1E3A5F"/>
          <w:sz w:val="25"/>
          <w:szCs w:val="25"/>
        </w:rPr>
        <w:t xml:space="preserve">2.1 Síndrome de apnea obstructiva del sueño</w:t>
      </w:r>
    </w:p>
    <w:p>
      <w:pPr>
        <w:spacing w:after="160" w:before="0" w:line="240" w:lineRule="auto"/>
        <w:ind w:firstLine="720"/>
        <w:jc w:val="both"/>
      </w:pPr>
      <w:r>
        <w:rPr>
          <w:rFonts w:ascii="Arial" w:cs="Arial" w:eastAsia="Arial" w:hAnsi="Arial"/>
          <w:sz w:val="22"/>
          <w:szCs w:val="22"/>
        </w:rPr>
        <w:t xml:space="preserve">La apnea obstructiva del sueño (SAOS) se caracteriza por episodios recurrentes de colapso total o parcial de la vía aérea superior durante el sueño, con reducción o cese del flujo aéreo pese al esfuerzo ventilatorio. Estos episodios generan desaturaciones de oxígeno, activaciones autonómicas y microdespertares que fragmentan el sueño. Su prevalencia en adultos se estima entre el 15 y el 30%, según los criterios diagnósticos, con tasas mayores en varones de mediana edad, personas con obesidad o hipertensión arterial (Young et al., 1993; Peppard et al., 2013; Benjafield et al., 2019). Pese a ello, el síndrome permanece subdiagnosticado por las dificultades de acceso al estudio de sueño y el bajo reconocimiento clínico de los síntomas.</w:t>
      </w:r>
    </w:p>
    <w:p>
      <w:pPr>
        <w:spacing w:after="160" w:before="0" w:line="240" w:lineRule="auto"/>
        <w:ind w:firstLine="720"/>
        <w:jc w:val="both"/>
      </w:pPr>
      <w:r>
        <w:rPr>
          <w:rFonts w:ascii="Arial" w:cs="Arial" w:eastAsia="Arial" w:hAnsi="Arial"/>
          <w:sz w:val="22"/>
          <w:szCs w:val="22"/>
        </w:rPr>
        <w:t xml:space="preserve">Desde el punto de vista fisiopatológico, el SAOS resulta de la interacción entre factores anatómicos y neuromusculares que condicionan la apertura de la vía aérea durante el sueño. Cada episodio obstructivo genera hipoxia transitoria, activa el sistema nervioso simpático, eleva la presión arterial y aumenta la frecuencia cardíaca (Somers et al., 1993). La repetición crónica de estos eventos favorece inflamación, disfunción endotelial y remodelado cardiovascular, lo que explica su asociación con hipertensión, arritmias, accidente cerebrovascular y mayor mortalidad cardiovascular (Shamsuzzaman et al., 2003; Marin et al., 2005; Punjabi et al., 2009). Por ello, la activación autonómica asociada a cada evento constituye una dimensión fisiológicamente relevante del análisis del síndrome (Dempsey et al., 2010).</w:t>
      </w:r>
    </w:p>
    <w:p>
      <w:pPr>
        <w:spacing w:after="160" w:before="0" w:line="240" w:lineRule="auto"/>
        <w:ind w:firstLine="720"/>
        <w:jc w:val="both"/>
      </w:pPr>
      <w:r>
        <w:rPr>
          <w:rFonts w:ascii="Arial" w:cs="Arial" w:eastAsia="Arial" w:hAnsi="Arial"/>
          <w:sz w:val="22"/>
          <w:szCs w:val="22"/>
        </w:rPr>
        <w:t xml:space="preserve">Los índices clásicos de severidad del SAOS incluyen el AHI y el ODI —índices de frecuencia que expresan el número de eventos por hora— y el T90, que cuantifica la carga hipóxica temporal como porcentaje del tiempo de sueño con SpO₂ por debajo del 90%. Sus definiciones y limitaciones estructurales se presentan en el Capítulo 1. La literatura reciente ha propuesto además la carga hipóxica o hypoxic burden (HB) como métrica complementaria que integra frecuencia, profundidad y duración de las desaturaciones, con mayor asociación con eventos cardiovasculares adversos que los índices de frecuencia aislados (Azarbarzin et al., 2019). A esto se suma la variabilidad noche a noche dentro de un mismo paciente, que puede ser considerable y limitar la interpretación basada en un único registro (Levendowski et al., 2009; Bittencourt et al., 2001; Malhotra et al., 2021). Esta variabilidad refuerza la necesidad de análisis longitudinales multinoche y de representaciones dinámicas que capturen la estructura del sueño más allá del estudio aislado.</w:t>
      </w:r>
    </w:p>
    <w:p>
      <w:pPr>
        <w:spacing w:after="160" w:before="0" w:line="240" w:lineRule="auto"/>
        <w:ind w:firstLine="720"/>
        <w:jc w:val="both"/>
      </w:pPr>
      <w:r>
        <w:rPr>
          <w:rFonts w:ascii="Arial" w:cs="Arial" w:eastAsia="Arial" w:hAnsi="Arial"/>
          <w:sz w:val="22"/>
          <w:szCs w:val="22"/>
        </w:rPr>
        <w:t xml:space="preserve">La heterogeneidad clínica y fisiopatológica del SAOS ha impulsado investigaciones orientadas a identificar fenotipos de pacientes con perfiles diferenciados. Diversos estudios han agrupado pacientes según variables clínicas, polisomnográficas o de respuesta terapéutica, describiendo entre tres y cinco subtipos distintivos (Ye et al., 2014; Bailly et al., 2016; Zinchuk &amp; Yaggi, 2020). Otros enfoques se centran en mecanismos fisiopatológicos subyacentes como el umbral de activación, la ganancia del lazo ventilatorio, la compensación muscular y el umbral de apnea, dimensiones que caracterizan al paciente más allá de la severidad agregada (Eckert et al., 2013). En conjunto, estos trabajos sugieren que el análisis detallado de señales nocturnas continuas, especialmente mediante oximetría domiciliaria multinoche, podría aportar una caracterización más fina del síndrome.</w:t>
      </w:r>
    </w:p>
    <w:p>
      <w:pPr>
        <w:pStyle w:val="Heading2"/>
        <w:spacing w:after="160" w:before="380"/>
      </w:pPr>
      <w:r>
        <w:rPr>
          <w:rFonts w:ascii="Arial" w:cs="Arial" w:eastAsia="Arial" w:hAnsi="Arial"/>
          <w:b/>
          <w:bCs/>
          <w:color w:val="1E3A5F"/>
          <w:sz w:val="25"/>
          <w:szCs w:val="25"/>
        </w:rPr>
        <w:t xml:space="preserve">2.2 Monitoreo domiciliario con oximetría portátil</w:t>
      </w:r>
    </w:p>
    <w:p>
      <w:pPr>
        <w:spacing w:after="160" w:before="0" w:line="240" w:lineRule="auto"/>
        <w:ind w:firstLine="720"/>
        <w:jc w:val="both"/>
      </w:pPr>
      <w:r>
        <w:rPr>
          <w:rFonts w:ascii="Arial" w:cs="Arial" w:eastAsia="Arial" w:hAnsi="Arial"/>
          <w:sz w:val="22"/>
          <w:szCs w:val="22"/>
        </w:rPr>
        <w:t xml:space="preserve">El estudio de referencia para el diagnóstico del SAOS es la polisomnografía en laboratorio (PSG), que registra simultáneamente múltiples señales fisiológicas durante una noche completa: actividad cerebral, movimientos oculares, tono muscular, flujo aéreo, esfuerzo ventilatorio, saturación de oxígeno, electrocardiograma y posición corporal. Su capacidad diagnóstica es elevada, pero su acceso es limitado: implica coste elevado, desplazamiento al laboratorio, condiciones de sueño artificiales y, en la práctica habitual, un único registro por episodio (Kapur et al., 2017). Frente a estas restricciones, el monitoreo domiciliario con oximetría portátil —cuyas características de adquisición se describen en el Capítulo 1— ofrece desde el punto de vista analítico un compromiso diferente: señales continuas adquiridas en condiciones reales del paciente y durante noches consecutivas, a expensas de un subconjunto más reducido de variables medidas (Collop et al., 2007). La caracterización de las propiedades analíticas de ese subconjunto es el objeto de esta sección.</w:t>
      </w:r>
    </w:p>
    <w:p>
      <w:pPr>
        <w:spacing w:after="160" w:before="0" w:line="240" w:lineRule="auto"/>
        <w:ind w:firstLine="720"/>
        <w:jc w:val="both"/>
      </w:pPr>
      <w:r>
        <w:rPr>
          <w:rFonts w:ascii="Arial" w:cs="Arial" w:eastAsia="Arial" w:hAnsi="Arial"/>
          <w:sz w:val="22"/>
          <w:szCs w:val="22"/>
        </w:rPr>
        <w:t xml:space="preserve">Las tres señales disponibles —SpO₂, frecuencia cardíaca y movimiento— tienen roles analíticos distintos y complementarios que condicionan el diseño del pipeline. La SpO₂ es la señal primaria: su resolución temporal permite representar la curva completa de cada evento de desaturación y capturar las dimensiones morfológicas que los índices agregados no preservan —pendiente de caída, profundidad máxima y forma de la recuperación. La frecuencia cardíaca opera como señal secundaria: con latencia de segundos respecto al evento, refleja la activación simpática asociada y provee la base para la cuantificación de la respuesta autonómica evento a evento. El movimiento corporal es una señal auxiliar de interpretación más contextual: integra información postural, motora y respiratoria, y resulta útil para inferir la postura predominante y detectar activaciones motoras vinculadas a microdespertares (Yoon &amp; Choi, 2023).</w:t>
      </w:r>
    </w:p>
    <w:p>
      <w:pPr>
        <w:spacing w:after="160" w:before="0" w:line="240" w:lineRule="auto"/>
        <w:ind w:firstLine="720"/>
        <w:jc w:val="both"/>
      </w:pPr>
      <w:r>
        <w:rPr>
          <w:rFonts w:ascii="Arial" w:cs="Arial" w:eastAsia="Arial" w:hAnsi="Arial"/>
          <w:sz w:val="22"/>
          <w:szCs w:val="22"/>
        </w:rPr>
        <w:t xml:space="preserve">Una ventaja metodológicamente relevante del monitoreo domiciliario es la posibilidad de adquirir registros durante noches consecutivas en condiciones habituales del paciente. La variabilidad intraindividual señalada en la sección 2.1 —que puede ser considerable y depende de factores como la postura, el consumo de alcohol o el estado de fatiga— convierte cada noche en una observación con valor propio, no en ruido a eliminar, tanto para la caracterización del paciente individual como para el análisis metodológico. Desde este último punto de vista, una cohorte multinoche genera un volumen de datos considerablemente mayor, lo que favorece la estabilidad de las representaciones no supervisadas y podría mejorar la robustez de los modelos predictivos; aunque con la salvedad de que las noches de un mismo paciente no son independientes, lo que acota el número efectivo de unidades de análisis al número de pacientes y condiciona el diseño de la validación, como se desarrolla en la sección 2.4.</w:t>
      </w:r>
    </w:p>
    <w:p>
      <w:pPr>
        <w:spacing w:after="160" w:before="0" w:line="240" w:lineRule="auto"/>
        <w:ind w:firstLine="720"/>
        <w:jc w:val="both"/>
      </w:pPr>
      <w:r>
        <w:rPr>
          <w:rFonts w:ascii="Arial" w:cs="Arial" w:eastAsia="Arial" w:hAnsi="Arial"/>
          <w:sz w:val="22"/>
          <w:szCs w:val="22"/>
        </w:rPr>
        <w:t xml:space="preserve">Los registros domiciliarios también presentan limitaciones analíticas. La calidad de señal es más variable que en el laboratorio, con artefactos de movimiento, desconexiones del sensor y cambios posturales que pueden generar segmentos no interpretables, por lo que requieren criterios explícitos de control de calidad. Además, la ausencia de EEG impide estadificar directamente las fases del sueño. El monitoreo domiciliario con oximetría no reemplaza a la PSG para el diagnóstico integral del SAOS, sino que habilita un enfoque complementario: el análisis longitudinal de la dinámica nocturna en condiciones reales de vida del paciente y a una escala temporal que la PSG, por diseño, no puede proporcionar. Las señales de SpO₂, frecuencia cardíaca y movimiento resultan suficientes para el objetivo específico de este análisis morfológico y dinámico, especialmente si se aprovechan mediante pipelines reproducibles adaptados a datos longitudinales multinoche.</w:t>
      </w:r>
    </w:p>
    <w:p>
      <w:pPr>
        <w:pStyle w:val="Heading2"/>
        <w:spacing w:after="160" w:before="380"/>
      </w:pPr>
      <w:r>
        <w:rPr>
          <w:rFonts w:ascii="Arial" w:cs="Arial" w:eastAsia="Arial" w:hAnsi="Arial"/>
          <w:b/>
          <w:bCs/>
          <w:color w:val="1E3A5F"/>
          <w:sz w:val="25"/>
          <w:szCs w:val="25"/>
        </w:rPr>
        <w:t xml:space="preserve">2.3 Análisis de series temporales fisiológicas</w:t>
      </w:r>
    </w:p>
    <w:p>
      <w:pPr>
        <w:spacing w:after="160" w:before="0" w:line="240" w:lineRule="auto"/>
        <w:ind w:firstLine="720"/>
        <w:jc w:val="both"/>
      </w:pPr>
      <w:r>
        <w:rPr>
          <w:rFonts w:ascii="Arial" w:cs="Arial" w:eastAsia="Arial" w:hAnsi="Arial"/>
          <w:sz w:val="22"/>
          <w:szCs w:val="22"/>
        </w:rPr>
        <w:t xml:space="preserve">Las señales fisiológicas nocturnas obtenidas mediante monitoreo domiciliario constituyen series temporales con propiedades características que condicionan su análisis. Son series no estacionarias: su media, varianza y estructura de correlación cambian a lo largo de la noche en función de los ciclos de sueño, los eventos respiratorios y las fluctuaciones del sistema nervioso autónomo. Son multivariadas: SpO₂, frecuencia cardíaca y movimiento evolucionan de forma coordinada, y sus relaciones temporales cruzadas contienen información sobre la fisiología que no puede recuperarse analizando cada señal por separado. Son además ruidosas e intermitentemente contaminadas por artefactos, lo que requiere etapas de preprocesamiento explícitas antes de cualquier análisis de contenido. El tratamiento riguroso de estas propiedades —no-estacionariedad, multivariabilidad, ruido estructurado— constituye un requisito fundamental para extraer representaciones significativas de la señal.</w:t>
      </w:r>
    </w:p>
    <w:p>
      <w:pPr>
        <w:spacing w:after="160" w:before="0" w:line="240" w:lineRule="auto"/>
        <w:ind w:firstLine="720"/>
        <w:jc w:val="both"/>
      </w:pPr>
      <w:r>
        <w:rPr>
          <w:rFonts w:ascii="Arial" w:cs="Arial" w:eastAsia="Arial" w:hAnsi="Arial"/>
          <w:sz w:val="22"/>
          <w:szCs w:val="22"/>
        </w:rPr>
        <w:t xml:space="preserve">Un primer nivel de análisis consiste en la detección de eventos fisiológicos discretos: segmentos de señal que cumplen criterios operacionales definidos y que corresponden a perturbaciones reconocibles del proceso fisiológico subyacente. En el contexto del monitoreo respiratorio nocturno, el evento central es la desaturación de oxígeno: una caída de la SpO₂ por encima de un umbral de profundidad, con duración mínima, referenciada a una línea de base local que refleja el contexto fisiológico inmediato del evento. Los estándares de puntuación de eventos respiratorios durante el sueño —como los criterios de la Academia Americana de Medicina del Sueño (Berry et al., 2012)— proporcionan un marco de referencia para estas definiciones, aunque su aplicación en oximetría domiciliaria requiere adaptaciones metodológicas explícitas. La definición operacional de los umbrales —qué constituye un evento, cuándo comienza y cuándo termina, cómo se segmenta la curva completa— tiene un impacto directo sobre el número de eventos detectados, sus características métricas y la calidad de los análisis posteriores.</w:t>
      </w:r>
    </w:p>
    <w:p>
      <w:pPr>
        <w:spacing w:after="160" w:before="0" w:line="240" w:lineRule="auto"/>
        <w:ind w:firstLine="720"/>
        <w:jc w:val="both"/>
      </w:pPr>
      <w:r>
        <w:rPr>
          <w:rFonts w:ascii="Arial" w:cs="Arial" w:eastAsia="Arial" w:hAnsi="Arial"/>
          <w:sz w:val="22"/>
          <w:szCs w:val="22"/>
        </w:rPr>
        <w:t xml:space="preserve">Una vez segmentada, la curva completa de cada evento de desaturación constituye un objeto de análisis multivariado: contiene información sobre la pendiente de caída, la profundidad máxima alcanzada, la forma de la fase de recuperación, la simetría entre caída y recuperación y la carga hipóxica integrada a lo largo del evento. El análisis morfológico de esta curva puede abordarse mediante técnicas de reconocimiento de formas, reducción de dimensionalidad y agrupamiento no supervisado, que permiten identificar familias de eventos con perfiles morfológicos similares. Este enfoque traslada al dominio de las señales de oximetría la idea, consolidada en otras disciplinas biomédicas como la electrocardiografía, de que los patrones de forma de la señal contienen información fisiológica relevante que no es capturada por indicadores escalares de profundidad o duración aislados (de Chazal et al., 2004).</w:t>
      </w:r>
    </w:p>
    <w:p>
      <w:pPr>
        <w:spacing w:after="160" w:before="0" w:line="240" w:lineRule="auto"/>
        <w:ind w:firstLine="720"/>
        <w:jc w:val="both"/>
      </w:pPr>
      <w:r>
        <w:rPr>
          <w:rFonts w:ascii="Arial" w:cs="Arial" w:eastAsia="Arial" w:hAnsi="Arial"/>
          <w:sz w:val="22"/>
          <w:szCs w:val="22"/>
        </w:rPr>
        <w:t xml:space="preserve">La frecuencia cardíaca ofrece una dimensión complementaria al análisis morfológico de la SpO₂. Cada episodio obstructivo desencadena una respuesta autonómica característica: la hipoxia activa el sistema nervioso simpático y produce un aumento transitorio de la FC cuya latencia, magnitud y velocidad de recuperación son cuantificables a partir de la señal continua (Somers et al., 1993; Dempsey et al., 2010). Esta respuesta autonómica evento a evento proviene de una dimensión fisiológica distinta a la de la desaturación de oxígeno, lo que la hace potencialmente complementaria y parcialmente independiente de los índices de frecuencia y severidad derivados de la SpO₂. Su cuantificación a escala de evento permite construir índices de respuesta autonómica cuya relación empírica con los índices de oximetría y con los fenotipos clínicos del síndrome puede evaluarse de forma independiente.</w:t>
      </w:r>
    </w:p>
    <w:p>
      <w:pPr>
        <w:spacing w:after="160" w:before="0" w:line="240" w:lineRule="auto"/>
        <w:ind w:firstLine="720"/>
        <w:jc w:val="both"/>
      </w:pPr>
      <w:r>
        <w:rPr>
          <w:rFonts w:ascii="Arial" w:cs="Arial" w:eastAsia="Arial" w:hAnsi="Arial"/>
          <w:sz w:val="22"/>
          <w:szCs w:val="22"/>
        </w:rPr>
        <w:t xml:space="preserve">Un segundo nivel de análisis aborda la estructura temporal de la noche como un todo. Las series temporales fisiológicas del sueño exhiben regularidades a múltiples escalas temporales simultáneas: a escala de segundos, la reactividad inmediata ante un evento obstructivo; a escala de minutos, la dinámica de recuperación y el contexto local de ocurrencia de los eventos; a escala de decenas de minutos, la organización global de la noche en fases de actividad fisiológica diferenciada. Ninguna de estas escalas captura por sí sola la riqueza de la señal: el análisis multiescala simultáneo permite representar la noche como una trayectoria fisiológica que evoluciona a distintas frecuencias. Este marco de análisis es conceptualmente análogo al que se aplica en otras señales biomédicas complejas, como la variabilidad de la frecuencia cardíaca en monitoreo Holter (Task Force of the European Society of Cardiology, 1996) o los patrones de actividad-reposo en actigrafía de larga duración (Ancoli-Israel et al., 2003).</w:t>
      </w:r>
    </w:p>
    <w:p>
      <w:pPr>
        <w:spacing w:after="160" w:before="0" w:line="240" w:lineRule="auto"/>
        <w:ind w:firstLine="720"/>
        <w:jc w:val="both"/>
      </w:pPr>
      <w:r>
        <w:rPr>
          <w:rFonts w:ascii="Arial" w:cs="Arial" w:eastAsia="Arial" w:hAnsi="Arial"/>
          <w:sz w:val="22"/>
          <w:szCs w:val="22"/>
        </w:rPr>
        <w:t xml:space="preserve">Una estrategia para representar la organización global de series temporales fisiológicas complejas es la construcción de sistemas de estados dinámicos: conjuntos finitos de estados latentes que capturan configuraciones recurrentes de las variables observadas, junto con reglas de transición entre ellos. Cada estado define un perfil típico de la señal multivariada en una ventana temporal dada; los estados se asignan a ventanas sucesivas produciendo una trayectoria de estados discreta que describe la evolución temporal del sistema. Este enfoque ha sido aplicado en el análisis de series temporales de variabilidad cardíaca, actividad cerebral y actigrafía de sueño, permitiendo identificar estructuras organizativas latentes que los análisis de ventana fija no detectan (Acharya et al., 2006; Ancoli-Israel et al., 2003). La definición de los estados mediante agrupamiento no supervisado permite que emerjan de los datos mismos, sin imponer categorías clínicas a priori. Los métodos de reducción de dimensionalidad y agrupamiento que hacen posible tanto el fenotipado morfológico como la construcción de sistemas de estados dinámicos se describen en la sección siguiente.</w:t>
      </w:r>
    </w:p>
    <w:p>
      <w:pPr>
        <w:pStyle w:val="Heading2"/>
        <w:spacing w:after="160" w:before="380"/>
      </w:pPr>
      <w:r>
        <w:rPr>
          <w:rFonts w:ascii="Arial" w:cs="Arial" w:eastAsia="Arial" w:hAnsi="Arial"/>
          <w:b/>
          <w:bCs/>
          <w:color w:val="1E3A5F"/>
          <w:sz w:val="25"/>
          <w:szCs w:val="25"/>
        </w:rPr>
        <w:t xml:space="preserve">2.4 Aprendizaje automático en señales biomédicas</w:t>
      </w:r>
    </w:p>
    <w:p>
      <w:pPr>
        <w:spacing w:after="160" w:before="0" w:line="240" w:lineRule="auto"/>
        <w:ind w:firstLine="720"/>
        <w:jc w:val="both"/>
      </w:pPr>
      <w:r>
        <w:rPr>
          <w:rFonts w:ascii="Arial" w:cs="Arial" w:eastAsia="Arial" w:hAnsi="Arial"/>
          <w:sz w:val="22"/>
          <w:szCs w:val="22"/>
        </w:rPr>
        <w:t xml:space="preserve">El aprendizaje automático ofrece un conjunto de herramientas metodológicas especialmente adecuado para el análisis de señales biomédicas complejas, donde la relación entre las variables observadas y los fenómenos de interés es no lineal, multidimensional y difícil de especificar a priori. En el contexto de las señales fisiológicas del sueño, el aprendizaje automático puede emplearse en distintos niveles del análisis: para reducir la dimensionalidad de la señal y visualizar su estructura latente, para identificar agrupamientos naturales en el espacio de características, para predecir variables clínicas relevantes a partir de representaciones derivadas de la señal, y para interpretar qué variables contribuyen más a las predicciones. La distinción entre métodos no supervisados —que buscan estructura en los datos sin etiquetas— y supervisados —que aprenden a predecir una variable objetivo— es especialmente relevante en este contexto: las señales domiciliarias generalmente no cuentan con etiquetado evento a evento, lo que hace al aprendizaje no supervisado particularmente valioso en las etapas de caracterización.</w:t>
      </w:r>
    </w:p>
    <w:p>
      <w:pPr>
        <w:spacing w:after="160" w:before="0" w:line="240" w:lineRule="auto"/>
        <w:ind w:firstLine="720"/>
        <w:jc w:val="both"/>
      </w:pPr>
      <w:r>
        <w:rPr>
          <w:rFonts w:ascii="Arial" w:cs="Arial" w:eastAsia="Arial" w:hAnsi="Arial"/>
          <w:sz w:val="22"/>
          <w:szCs w:val="22"/>
        </w:rPr>
        <w:t xml:space="preserve">El Análisis de Componentes Principales (PCA) es una técnica de reducción de dimensionalidad lineal que transforma un conjunto de variables correladas en un nuevo conjunto de variables no correladas —las componentes principales— ordenadas por la fracción de varianza total que explican. Su utilidad en el análisis de señales biomédicas es doble: por un lado, permite comprimir la representación de objetos de alta dimensión —como curvas completas de eventos o vectores de características de ventanas temporales— en un espacio de menor dimensión que preserva la mayor parte de la variabilidad informativa; por otro, facilita la visualización de la estructura del conjunto de datos en dos o tres dimensiones, revelando agrupamientos naturales, gradientes continuos o estructuras de variabilidad latente. En el contexto del fenotipado morfológico, PCA actúa típicamente como paso previo al agrupamiento, mejorando la separabilidad de los grupos en el espacio reducido y atenuando el efecto del ruido de alta frecuencia en la señal.</w:t>
      </w:r>
    </w:p>
    <w:p>
      <w:pPr>
        <w:spacing w:after="160" w:before="0" w:line="240" w:lineRule="auto"/>
        <w:ind w:firstLine="720"/>
        <w:jc w:val="both"/>
      </w:pPr>
      <w:r>
        <w:rPr>
          <w:rFonts w:ascii="Arial" w:cs="Arial" w:eastAsia="Arial" w:hAnsi="Arial"/>
          <w:sz w:val="22"/>
          <w:szCs w:val="22"/>
        </w:rPr>
        <w:t xml:space="preserve">El agrupamiento K-medias (K-means) es un algoritmo de aprendizaje no supervisado que particiona un conjunto de datos en K grupos cuyos miembros son más similares entre sí que a los miembros de otros grupos, minimizando la suma de distancias euclídeas al centroide de cada grupo. Su aplicación en el análisis de señales biomédicas permite identificar familias de observaciones con perfiles similares sin imponer etiquetas externas: el algoritmo descubre la estructura de agrupamiento que existe en los datos. La selección del número óptimo de grupos K es una decisión metodológica relevante que puede guiarse por criterios cuantitativos como el análisis de silueta o el índice de Calinski-Harabasz, o por consideraciones de interpretabilidad. Una limitación conocida del algoritmo es su sensibilidad a la inicialización y a la escala de las variables, lo que requiere estandarización previa y múltiples inicializaciones para garantizar la convergencia a soluciones estables y reproducibles.</w:t>
      </w:r>
    </w:p>
    <w:p>
      <w:pPr>
        <w:spacing w:after="160" w:before="0" w:line="240" w:lineRule="auto"/>
        <w:ind w:firstLine="720"/>
        <w:jc w:val="both"/>
      </w:pPr>
      <w:r>
        <w:rPr>
          <w:rFonts w:ascii="Arial" w:cs="Arial" w:eastAsia="Arial" w:hAnsi="Arial"/>
          <w:sz w:val="22"/>
          <w:szCs w:val="22"/>
        </w:rPr>
        <w:t xml:space="preserve">Entre los modelos de aprendizaje supervisado más utilizados en aplicaciones de señales biomédicas se encuentran la regresión logística regularizada, los bosques aleatorios y el gradiente potenciado. La regresión logística regularizada produce modelos lineales interpretables y ofrece probabilidades calibradas, siendo especialmente adecuada cuando la relación entre variables predictoras y variable objetivo es aproximadamente lineal en el espacio de representación. Los bosques aleatorios combinan múltiples árboles de decisión entrenados sobre submuestras del conjunto de datos, produciendo modelos robustos que capturan relaciones no lineales y generan estimaciones de importancia de variables. El gradiente potenciado, en implementaciones eficientes como LightGBM (Ke et al., 2017), construye árboles de forma secuencial corrigiendo en cada iteración los errores del modelo anterior, y produce habitualmente resultados competitivos en benchmarks de datos tabulares estructurados. La elección entre estos modelos depende del tamaño del conjunto de datos, la presencia de relaciones no lineales, la necesidad de interpretabilidad y los requisitos de calibración de probabilidades.</w:t>
      </w:r>
    </w:p>
    <w:p>
      <w:pPr>
        <w:spacing w:after="160" w:before="0" w:line="240" w:lineRule="auto"/>
        <w:ind w:firstLine="720"/>
        <w:jc w:val="both"/>
      </w:pPr>
      <w:r>
        <w:rPr>
          <w:rFonts w:ascii="Arial" w:cs="Arial" w:eastAsia="Arial" w:hAnsi="Arial"/>
          <w:sz w:val="22"/>
          <w:szCs w:val="22"/>
        </w:rPr>
        <w:t xml:space="preserve">La validación de modelos predictivos en conjuntos de datos con estructura longitudinal agrupada —como registros de múltiples noches de múltiples pacientes— requiere esquemas de validación que respeten la independencia entre grupos (Roberts et al., 2017). La validación cruzada estándar por pliegues aleatorios puede producir estimaciones optimistas del rendimiento cuando observaciones del mismo grupo aparecen simultáneamente en el conjunto de entrenamiento y en el de prueba: el modelo aprende características idiosincrásicas del individuo que no generalizan a nuevos pacientes. La validación cruzada dejando un paciente fuera (Leave-One-Patient-Out, LOPO) resuelve esta limitación evaluando el modelo sobre cada paciente usando exclusivamente los datos de los demás para entrenamiento, lo que proporciona una estimación conservadora y realista de la capacidad de generalización. Este esquema resulta especialmente relevante cuando el tamaño de la cohorte es reducido, ya que la diferencia entre la estimación LOPO y la estimación por pliegues aleatorios puede ser sustancial y determina la validez de las conclusiones predictivas.</w:t>
      </w:r>
    </w:p>
    <w:p>
      <w:pPr>
        <w:spacing w:after="160" w:before="0" w:line="240" w:lineRule="auto"/>
        <w:ind w:firstLine="720"/>
        <w:jc w:val="both"/>
      </w:pPr>
      <w:r>
        <w:rPr>
          <w:rFonts w:ascii="Arial" w:cs="Arial" w:eastAsia="Arial" w:hAnsi="Arial"/>
          <w:sz w:val="22"/>
          <w:szCs w:val="22"/>
        </w:rPr>
        <w:t xml:space="preserve">La interpretabilidad de los modelos de aprendizaje automático es una dimensión especialmente relevante en aplicaciones clínicas, donde la capacidad de explicar una predicción individual puede ser tan importante como su exactitud. Los valores de Shapley (SHAP) ofrecen un marco teóricamente fundado para la atribución de la contribución de cada variable a cada predicción individual, basado en el concepto matemático de valor de Shapley de la teoría de juegos cooperativos (Lundberg &amp; Lee, 2017). Para cada predicción, SHAP calcula cuánto contribuye cada variable, en qué dirección y con qué magnitud, permitiendo tanto el análisis global de importancia de variables como la explicación de casos individuales. En el contexto del análisis de señales biomédicas, los valores SHAP permiten identificar qué características morfológicas, dinámicas o fisiológicas son más relevantes para la predicción de eventos o estados de riesgo en cada paciente, contribuyendo a la construcción de modelos que pueden ser sometidos al escrutinio clínico y facilitan el diálogo entre el modelo predictivo y el profesional que lo utiliza.</w:t>
      </w:r>
    </w:p>
    <w:p>
      <w:pPr>
        <w:spacing w:after="0" w:before="160"/>
      </w:pPr>
      <w:r>
        <w:t xml:space="preserve"/>
      </w:r>
    </w:p>
    <w:p>
      <w:pPr>
        <w:spacing w:after="160" w:before="0" w:line="240" w:lineRule="auto"/>
        <w:ind w:firstLine="720"/>
        <w:jc w:val="both"/>
      </w:pPr>
      <w:r>
        <w:rPr>
          <w:rFonts w:ascii="Arial" w:cs="Arial" w:eastAsia="Arial" w:hAnsi="Arial"/>
          <w:sz w:val="22"/>
          <w:szCs w:val="22"/>
        </w:rPr>
        <w:t xml:space="preserve">Los cuatro dominios revisados en este capítulo convergen en justificar un enfoque de análisis que sea continuo —trabajando con la señal completa y no con índices agregados que colapsan la noche en un único valor—, multiescala —capturando la dinámica fisiológica a escalas de segundos, minutos y decenas de minutos de forma simultánea— y longitudinal —aprovechando la variabilidad intraindividual multinoche como información analítica con valor propio. Este es el marco sobre el que se apoya el Proyecto APNEA. El capítulo siguiente describe los materiales y métodos: la cohorte de pacientes, el diseño del pipeline PAC_v3 con su arquitectura de procesamiento en cuatro zonas y las decisiones de control de calidad de señal que dan forma al conjunto de datos analítico utilizado a lo largo del trabajo.</w:t>
      </w:r>
    </w:p>
    <w:p>
      <w:pPr>
        <w:spacing w:after="0" w:before="200"/>
      </w:pPr>
      <w:r>
        <w:t xml:space="preserve"/>
      </w:r>
    </w:p>
    <w:p>
      <w:pPr>
        <w:pStyle w:val="Heading2"/>
        <w:spacing w:after="160" w:before="380"/>
      </w:pPr>
      <w:r>
        <w:rPr>
          <w:rFonts w:ascii="Arial" w:cs="Arial" w:eastAsia="Arial" w:hAnsi="Arial"/>
          <w:b/>
          <w:bCs/>
          <w:color w:val="1E3A5F"/>
          <w:sz w:val="25"/>
          <w:szCs w:val="25"/>
        </w:rPr>
        <w:t xml:space="preserve">Referencias</w:t>
      </w:r>
    </w:p>
    <w:p>
      <w:pPr>
        <w:spacing w:after="140" w:before="0" w:line="240" w:lineRule="auto"/>
        <w:ind w:left="720" w:hanging="720"/>
        <w:jc w:val="both"/>
      </w:pPr>
      <w:r>
        <w:rPr>
          <w:rFonts w:ascii="Arial" w:cs="Arial" w:eastAsia="Arial" w:hAnsi="Arial"/>
          <w:sz w:val="21"/>
          <w:szCs w:val="21"/>
        </w:rPr>
        <w:t xml:space="preserve">Acharya, U. R., Joseph, K. P., Kannathal, N., Lim, C. M., &amp; Suri, J. S. (2006). Heart rate variability: a review. </w:t>
      </w:r>
      <w:r>
        <w:rPr>
          <w:rFonts w:ascii="Arial" w:cs="Arial" w:eastAsia="Arial" w:hAnsi="Arial"/>
          <w:i/>
          <w:iCs/>
          <w:sz w:val="21"/>
          <w:szCs w:val="21"/>
        </w:rPr>
        <w:t xml:space="preserve">Medical and Biological Engineering and Computing</w:t>
      </w:r>
      <w:r>
        <w:rPr>
          <w:rFonts w:ascii="Arial" w:cs="Arial" w:eastAsia="Arial" w:hAnsi="Arial"/>
          <w:sz w:val="21"/>
          <w:szCs w:val="21"/>
        </w:rPr>
        <w:t xml:space="preserve">, 44(12), 1031–1051. https://doi.org/10.1007/s11517-006-0119-0</w:t>
      </w:r>
    </w:p>
    <w:p>
      <w:pPr>
        <w:spacing w:after="140" w:before="0" w:line="240" w:lineRule="auto"/>
        <w:ind w:left="720" w:hanging="720"/>
        <w:jc w:val="both"/>
      </w:pPr>
      <w:r>
        <w:rPr>
          <w:rFonts w:ascii="Arial" w:cs="Arial" w:eastAsia="Arial" w:hAnsi="Arial"/>
          <w:sz w:val="21"/>
          <w:szCs w:val="21"/>
        </w:rPr>
        <w:t xml:space="preserve">Ancoli-Israel, S., Cole, R., Alessi, C., Chambers, M., Moorcroft, W., &amp; Pollak, C. P. (2003). The role of actigraphy in the study of sleep and circadian rhythms. </w:t>
      </w:r>
      <w:r>
        <w:rPr>
          <w:rFonts w:ascii="Arial" w:cs="Arial" w:eastAsia="Arial" w:hAnsi="Arial"/>
          <w:i/>
          <w:iCs/>
          <w:sz w:val="21"/>
          <w:szCs w:val="21"/>
        </w:rPr>
        <w:t xml:space="preserve">Sleep</w:t>
      </w:r>
      <w:r>
        <w:rPr>
          <w:rFonts w:ascii="Arial" w:cs="Arial" w:eastAsia="Arial" w:hAnsi="Arial"/>
          <w:sz w:val="21"/>
          <w:szCs w:val="21"/>
        </w:rPr>
        <w:t xml:space="preserve">, 26(3), 342–392. https://doi.org/10.1093/sleep/26.3.342</w:t>
      </w:r>
    </w:p>
    <w:p>
      <w:pPr>
        <w:spacing w:after="140" w:before="0" w:line="240" w:lineRule="auto"/>
        <w:ind w:left="720" w:hanging="720"/>
        <w:jc w:val="both"/>
      </w:pPr>
      <w:r>
        <w:rPr>
          <w:rFonts w:ascii="Arial" w:cs="Arial" w:eastAsia="Arial" w:hAnsi="Arial"/>
          <w:sz w:val="21"/>
          <w:szCs w:val="21"/>
        </w:rPr>
        <w:t xml:space="preserve">Azarbarzin, A., Sands, S. A., Stone, K. L., Taranto-Montemurro, L., Messineo, L., Terrill, P. I., Ancoli-Israel, S., Ensrud, K., Purcell, S., White, D. P., Redline, S., &amp; Wellman, A. (2019). The hypoxic burden of sleep apnoea predicts cardiovascular disease-related mortality: the Osteoporotic Fractures in Men Study and the Sleep Heart Health Study. </w:t>
      </w:r>
      <w:r>
        <w:rPr>
          <w:rFonts w:ascii="Arial" w:cs="Arial" w:eastAsia="Arial" w:hAnsi="Arial"/>
          <w:i/>
          <w:iCs/>
          <w:sz w:val="21"/>
          <w:szCs w:val="21"/>
        </w:rPr>
        <w:t xml:space="preserve">European Heart Journal</w:t>
      </w:r>
      <w:r>
        <w:rPr>
          <w:rFonts w:ascii="Arial" w:cs="Arial" w:eastAsia="Arial" w:hAnsi="Arial"/>
          <w:sz w:val="21"/>
          <w:szCs w:val="21"/>
        </w:rPr>
        <w:t xml:space="preserve">, 40(14), 1149–1157. https://doi.org/10.1093/eurheartj/ehy624</w:t>
      </w:r>
    </w:p>
    <w:p>
      <w:pPr>
        <w:spacing w:after="140" w:before="0" w:line="240" w:lineRule="auto"/>
        <w:ind w:left="720" w:hanging="720"/>
        <w:jc w:val="both"/>
      </w:pPr>
      <w:r>
        <w:rPr>
          <w:rFonts w:ascii="Arial" w:cs="Arial" w:eastAsia="Arial" w:hAnsi="Arial"/>
          <w:sz w:val="21"/>
          <w:szCs w:val="21"/>
        </w:rPr>
        <w:t xml:space="preserve">Bailly, S., Destors, M., Grillet, Y., Richard, P., Stach, B., Vivodtzev, I., Timsit, J.-F., Lévy, P., Tamisier, R., &amp; Pépin, J.-L. (2016). Obstructive sleep apnea: a cluster analysis at time of diagnosis. </w:t>
      </w:r>
      <w:r>
        <w:rPr>
          <w:rFonts w:ascii="Arial" w:cs="Arial" w:eastAsia="Arial" w:hAnsi="Arial"/>
          <w:i/>
          <w:iCs/>
          <w:sz w:val="21"/>
          <w:szCs w:val="21"/>
        </w:rPr>
        <w:t xml:space="preserve">PLoS One</w:t>
      </w:r>
      <w:r>
        <w:rPr>
          <w:rFonts w:ascii="Arial" w:cs="Arial" w:eastAsia="Arial" w:hAnsi="Arial"/>
          <w:sz w:val="21"/>
          <w:szCs w:val="21"/>
        </w:rPr>
        <w:t xml:space="preserve">, 11(6), e0157318. https://doi.org/10.1371/journal.pone.0157318</w:t>
      </w:r>
    </w:p>
    <w:p>
      <w:pPr>
        <w:spacing w:after="140" w:before="0" w:line="240" w:lineRule="auto"/>
        <w:ind w:left="720" w:hanging="720"/>
        <w:jc w:val="both"/>
      </w:pPr>
      <w:r>
        <w:rPr>
          <w:rFonts w:ascii="Arial" w:cs="Arial" w:eastAsia="Arial" w:hAnsi="Arial"/>
          <w:sz w:val="21"/>
          <w:szCs w:val="21"/>
        </w:rPr>
        <w:t xml:space="preserve">Benjafield, A. V., Ayas, N. T., Eastwood, P. R., Heinzer, R., Ip, M. S. M., Morrell, M. J., Nunez, C. M., Patel, S. R., Penzel, T., Pépin, J. L., Peppard, P. E., Sinha, S., Tufik, S., Valentine, K., &amp; Malhotra, A. (2019). Estimation of the global prevalence and burden of obstructive sleep apnoea: a literature-based analysis. </w:t>
      </w:r>
      <w:r>
        <w:rPr>
          <w:rFonts w:ascii="Arial" w:cs="Arial" w:eastAsia="Arial" w:hAnsi="Arial"/>
          <w:i/>
          <w:iCs/>
          <w:sz w:val="21"/>
          <w:szCs w:val="21"/>
        </w:rPr>
        <w:t xml:space="preserve">The Lancet Respiratory Medicine</w:t>
      </w:r>
      <w:r>
        <w:rPr>
          <w:rFonts w:ascii="Arial" w:cs="Arial" w:eastAsia="Arial" w:hAnsi="Arial"/>
          <w:sz w:val="21"/>
          <w:szCs w:val="21"/>
        </w:rPr>
        <w:t xml:space="preserve">, 7(8), 687–698. https://doi.org/10.1016/S2213-2600(19)30198-5</w:t>
      </w:r>
    </w:p>
    <w:p>
      <w:pPr>
        <w:spacing w:after="140" w:before="0" w:line="240" w:lineRule="auto"/>
        <w:ind w:left="720" w:hanging="720"/>
        <w:jc w:val="both"/>
      </w:pPr>
      <w:r>
        <w:rPr>
          <w:rFonts w:ascii="Arial" w:cs="Arial" w:eastAsia="Arial" w:hAnsi="Arial"/>
          <w:sz w:val="21"/>
          <w:szCs w:val="21"/>
        </w:rPr>
        <w:t xml:space="preserve">Berry, R. B., Budhiraja, R., Gottlieb, D. J., Gozal, D., Iber, C., Kapur, V. K., Marcus, C. L., Mehra, R., Parthasarathy, S., Quan, S. F., Redline, S., Strohl, K. P., Ward, S. L. D., Weinstein, M. D., &amp; Tangredi, M. M. (2012). Rules for scoring respiratory events in sleep: update of the 2007 AASM Manual for the Scoring of Sleep and Associated Events. </w:t>
      </w:r>
      <w:r>
        <w:rPr>
          <w:rFonts w:ascii="Arial" w:cs="Arial" w:eastAsia="Arial" w:hAnsi="Arial"/>
          <w:i/>
          <w:iCs/>
          <w:sz w:val="21"/>
          <w:szCs w:val="21"/>
        </w:rPr>
        <w:t xml:space="preserve">Journal of Clinical Sleep Medicine</w:t>
      </w:r>
      <w:r>
        <w:rPr>
          <w:rFonts w:ascii="Arial" w:cs="Arial" w:eastAsia="Arial" w:hAnsi="Arial"/>
          <w:sz w:val="21"/>
          <w:szCs w:val="21"/>
        </w:rPr>
        <w:t xml:space="preserve">, 8(5), 597–619. https://doi.org/10.5664/jcsm.2172</w:t>
      </w:r>
    </w:p>
    <w:p>
      <w:pPr>
        <w:spacing w:after="140" w:before="0" w:line="240" w:lineRule="auto"/>
        <w:ind w:left="720" w:hanging="720"/>
        <w:jc w:val="both"/>
      </w:pPr>
      <w:r>
        <w:rPr>
          <w:rFonts w:ascii="Arial" w:cs="Arial" w:eastAsia="Arial" w:hAnsi="Arial"/>
          <w:sz w:val="21"/>
          <w:szCs w:val="21"/>
        </w:rPr>
        <w:t xml:space="preserve">Bittencourt, L. R. A., Suchecki, D., Tufik, S., Peres, C., Togeiro, S. M., Bagnato, M. C., &amp; Nery, L. E. (2001). The variability of the apnoea-hypopnoea index. </w:t>
      </w:r>
      <w:r>
        <w:rPr>
          <w:rFonts w:ascii="Arial" w:cs="Arial" w:eastAsia="Arial" w:hAnsi="Arial"/>
          <w:i/>
          <w:iCs/>
          <w:sz w:val="21"/>
          <w:szCs w:val="21"/>
        </w:rPr>
        <w:t xml:space="preserve">Journal of Sleep Research</w:t>
      </w:r>
      <w:r>
        <w:rPr>
          <w:rFonts w:ascii="Arial" w:cs="Arial" w:eastAsia="Arial" w:hAnsi="Arial"/>
          <w:sz w:val="21"/>
          <w:szCs w:val="21"/>
        </w:rPr>
        <w:t xml:space="preserve">, 10(3), 245–251. https://doi.org/10.1046/j.1365-2869.2001.00255.x</w:t>
      </w:r>
    </w:p>
    <w:p>
      <w:pPr>
        <w:spacing w:after="140" w:before="0" w:line="240" w:lineRule="auto"/>
        <w:ind w:left="720" w:hanging="720"/>
        <w:jc w:val="both"/>
      </w:pPr>
      <w:r>
        <w:rPr>
          <w:rFonts w:ascii="Arial" w:cs="Arial" w:eastAsia="Arial" w:hAnsi="Arial"/>
          <w:sz w:val="21"/>
          <w:szCs w:val="21"/>
        </w:rPr>
        <w:t xml:space="preserve">Collop, N. A., Anderson, W. M., Boehlecke, B., Claman, D., Goldberg, R., Gottlieb, D. J., Hudgel, D., Sateia, M., &amp; Schwab, R. (2007). Clinical guidelines for the use of unattended portable monitors in the diagnosis of obstructive sleep apnea in adult patients. </w:t>
      </w:r>
      <w:r>
        <w:rPr>
          <w:rFonts w:ascii="Arial" w:cs="Arial" w:eastAsia="Arial" w:hAnsi="Arial"/>
          <w:i/>
          <w:iCs/>
          <w:sz w:val="21"/>
          <w:szCs w:val="21"/>
        </w:rPr>
        <w:t xml:space="preserve">Journal of Clinical Sleep Medicine</w:t>
      </w:r>
      <w:r>
        <w:rPr>
          <w:rFonts w:ascii="Arial" w:cs="Arial" w:eastAsia="Arial" w:hAnsi="Arial"/>
          <w:sz w:val="21"/>
          <w:szCs w:val="21"/>
        </w:rPr>
        <w:t xml:space="preserve">, 3(7), 737–747. https://doi.org/10.5664/jcsm.26999</w:t>
      </w:r>
    </w:p>
    <w:p>
      <w:pPr>
        <w:spacing w:after="140" w:before="0" w:line="240" w:lineRule="auto"/>
        <w:ind w:left="720" w:hanging="720"/>
        <w:jc w:val="both"/>
      </w:pPr>
      <w:r>
        <w:rPr>
          <w:rFonts w:ascii="Arial" w:cs="Arial" w:eastAsia="Arial" w:hAnsi="Arial"/>
          <w:sz w:val="21"/>
          <w:szCs w:val="21"/>
        </w:rPr>
        <w:t xml:space="preserve">de Chazal, P., O'Dwyer, M., &amp; Reilly, R. B. (2004). Automatic classification of heartbeats using ECG morphology and heartbeat interval features. </w:t>
      </w:r>
      <w:r>
        <w:rPr>
          <w:rFonts w:ascii="Arial" w:cs="Arial" w:eastAsia="Arial" w:hAnsi="Arial"/>
          <w:i/>
          <w:iCs/>
          <w:sz w:val="21"/>
          <w:szCs w:val="21"/>
        </w:rPr>
        <w:t xml:space="preserve">IEEE Transactions on Biomedical Engineering</w:t>
      </w:r>
      <w:r>
        <w:rPr>
          <w:rFonts w:ascii="Arial" w:cs="Arial" w:eastAsia="Arial" w:hAnsi="Arial"/>
          <w:sz w:val="21"/>
          <w:szCs w:val="21"/>
        </w:rPr>
        <w:t xml:space="preserve">, 51(7), 1196–1206. https://doi.org/10.1109/TBME.2004.827359</w:t>
      </w:r>
    </w:p>
    <w:p>
      <w:pPr>
        <w:spacing w:after="140" w:before="0" w:line="240" w:lineRule="auto"/>
        <w:ind w:left="720" w:hanging="720"/>
        <w:jc w:val="both"/>
      </w:pPr>
      <w:r>
        <w:rPr>
          <w:rFonts w:ascii="Arial" w:cs="Arial" w:eastAsia="Arial" w:hAnsi="Arial"/>
          <w:sz w:val="21"/>
          <w:szCs w:val="21"/>
        </w:rPr>
        <w:t xml:space="preserve">Dempsey, J. A., Veasna, P., Morgan, B. J., &amp; O'Donnell, C. P. (2010). Pathophysiology of sleep apnea. </w:t>
      </w:r>
      <w:r>
        <w:rPr>
          <w:rFonts w:ascii="Arial" w:cs="Arial" w:eastAsia="Arial" w:hAnsi="Arial"/>
          <w:i/>
          <w:iCs/>
          <w:sz w:val="21"/>
          <w:szCs w:val="21"/>
        </w:rPr>
        <w:t xml:space="preserve">Physiological Reviews</w:t>
      </w:r>
      <w:r>
        <w:rPr>
          <w:rFonts w:ascii="Arial" w:cs="Arial" w:eastAsia="Arial" w:hAnsi="Arial"/>
          <w:sz w:val="21"/>
          <w:szCs w:val="21"/>
        </w:rPr>
        <w:t xml:space="preserve">, 90(1), 47–112. https://doi.org/10.1152/physrev.00043.2008</w:t>
      </w:r>
    </w:p>
    <w:p>
      <w:pPr>
        <w:spacing w:after="140" w:before="0" w:line="240" w:lineRule="auto"/>
        <w:ind w:left="720" w:hanging="720"/>
        <w:jc w:val="both"/>
      </w:pPr>
      <w:r>
        <w:rPr>
          <w:rFonts w:ascii="Arial" w:cs="Arial" w:eastAsia="Arial" w:hAnsi="Arial"/>
          <w:sz w:val="21"/>
          <w:szCs w:val="21"/>
        </w:rPr>
        <w:t xml:space="preserve">Eckert, D. J., White, D. P., Jordan, A. S., Malhotra, A., &amp; Wellman, A. (2013). Defining phenotypic causes of obstructive sleep apnea: identification of novel therapeutic targets. </w:t>
      </w:r>
      <w:r>
        <w:rPr>
          <w:rFonts w:ascii="Arial" w:cs="Arial" w:eastAsia="Arial" w:hAnsi="Arial"/>
          <w:i/>
          <w:iCs/>
          <w:sz w:val="21"/>
          <w:szCs w:val="21"/>
        </w:rPr>
        <w:t xml:space="preserve">American Journal of Respiratory and Critical Care Medicine</w:t>
      </w:r>
      <w:r>
        <w:rPr>
          <w:rFonts w:ascii="Arial" w:cs="Arial" w:eastAsia="Arial" w:hAnsi="Arial"/>
          <w:sz w:val="21"/>
          <w:szCs w:val="21"/>
        </w:rPr>
        <w:t xml:space="preserve">, 188(8), 996–1004. https://doi.org/10.1164/rccm.201303-0448OC</w:t>
      </w:r>
    </w:p>
    <w:p>
      <w:pPr>
        <w:spacing w:after="140" w:before="0" w:line="240" w:lineRule="auto"/>
        <w:ind w:left="720" w:hanging="720"/>
        <w:jc w:val="both"/>
      </w:pPr>
      <w:r>
        <w:rPr>
          <w:rFonts w:ascii="Arial" w:cs="Arial" w:eastAsia="Arial" w:hAnsi="Arial"/>
          <w:sz w:val="21"/>
          <w:szCs w:val="21"/>
        </w:rPr>
        <w:t xml:space="preserve">Kapur, V. K., Auckley, D. H., Chowdhuri, S., Kuhlmann, D. C., Mehra, R., Ramar, K., &amp; Harrod, C. G. (2017). Clinical practice guideline for diagnostic testing for adult obstructive sleep apnea: an American Academy of Sleep Medicine clinical practice guideline. </w:t>
      </w:r>
      <w:r>
        <w:rPr>
          <w:rFonts w:ascii="Arial" w:cs="Arial" w:eastAsia="Arial" w:hAnsi="Arial"/>
          <w:i/>
          <w:iCs/>
          <w:sz w:val="21"/>
          <w:szCs w:val="21"/>
        </w:rPr>
        <w:t xml:space="preserve">Journal of Clinical Sleep Medicine</w:t>
      </w:r>
      <w:r>
        <w:rPr>
          <w:rFonts w:ascii="Arial" w:cs="Arial" w:eastAsia="Arial" w:hAnsi="Arial"/>
          <w:sz w:val="21"/>
          <w:szCs w:val="21"/>
        </w:rPr>
        <w:t xml:space="preserve">, 13(3), 479–504. https://doi.org/10.5664/jcsm.6506</w:t>
      </w:r>
    </w:p>
    <w:p>
      <w:pPr>
        <w:spacing w:after="140" w:before="0" w:line="240" w:lineRule="auto"/>
        <w:ind w:left="720" w:hanging="720"/>
        <w:jc w:val="both"/>
      </w:pPr>
      <w:r>
        <w:rPr>
          <w:rFonts w:ascii="Arial" w:cs="Arial" w:eastAsia="Arial" w:hAnsi="Arial"/>
          <w:sz w:val="21"/>
          <w:szCs w:val="21"/>
        </w:rPr>
        <w:t xml:space="preserve">Ke, G., Meng, Q., Finley, T., Wang, T., Chen, W., Ma, W., Ye, Q., &amp; Liu, T.-Y. (2017). LightGBM: A highly efficient gradient boosting decision tree. </w:t>
      </w:r>
      <w:r>
        <w:rPr>
          <w:rFonts w:ascii="Arial" w:cs="Arial" w:eastAsia="Arial" w:hAnsi="Arial"/>
          <w:i/>
          <w:iCs/>
          <w:sz w:val="21"/>
          <w:szCs w:val="21"/>
        </w:rPr>
        <w:t xml:space="preserve">Advances in Neural Information Processing Systems</w:t>
      </w:r>
      <w:r>
        <w:rPr>
          <w:rFonts w:ascii="Arial" w:cs="Arial" w:eastAsia="Arial" w:hAnsi="Arial"/>
          <w:sz w:val="21"/>
          <w:szCs w:val="21"/>
        </w:rPr>
        <w:t xml:space="preserve">, 30, 3146–3154.</w:t>
      </w:r>
    </w:p>
    <w:p>
      <w:pPr>
        <w:spacing w:after="140" w:before="0" w:line="240" w:lineRule="auto"/>
        <w:ind w:left="720" w:hanging="720"/>
        <w:jc w:val="both"/>
      </w:pPr>
      <w:r>
        <w:rPr>
          <w:rFonts w:ascii="Arial" w:cs="Arial" w:eastAsia="Arial" w:hAnsi="Arial"/>
          <w:sz w:val="21"/>
          <w:szCs w:val="21"/>
        </w:rPr>
        <w:t xml:space="preserve">Levendowski, D. J., Zack, N., Rao, S., Wong, K., Blackwell, T., Cavazzos, J., Hewes, R. T., &amp; Westbrook, P. (2009). Assessment of the test-retest reliability of laboratory polysomnography. </w:t>
      </w:r>
      <w:r>
        <w:rPr>
          <w:rFonts w:ascii="Arial" w:cs="Arial" w:eastAsia="Arial" w:hAnsi="Arial"/>
          <w:i/>
          <w:iCs/>
          <w:sz w:val="21"/>
          <w:szCs w:val="21"/>
        </w:rPr>
        <w:t xml:space="preserve">Sleep and Breathing</w:t>
      </w:r>
      <w:r>
        <w:rPr>
          <w:rFonts w:ascii="Arial" w:cs="Arial" w:eastAsia="Arial" w:hAnsi="Arial"/>
          <w:sz w:val="21"/>
          <w:szCs w:val="21"/>
        </w:rPr>
        <w:t xml:space="preserve">, 13(2), 163–167. https://doi.org/10.1007/s11325-008-0214-6</w:t>
      </w:r>
    </w:p>
    <w:p>
      <w:pPr>
        <w:spacing w:after="140" w:before="0" w:line="240" w:lineRule="auto"/>
        <w:ind w:left="720" w:hanging="720"/>
        <w:jc w:val="both"/>
      </w:pPr>
      <w:r>
        <w:rPr>
          <w:rFonts w:ascii="Arial" w:cs="Arial" w:eastAsia="Arial" w:hAnsi="Arial"/>
          <w:sz w:val="21"/>
          <w:szCs w:val="21"/>
        </w:rPr>
        <w:t xml:space="preserve">Lundberg, S. M., &amp; Lee, S.-I. (2017). A unified approach to interpreting model predictions. </w:t>
      </w:r>
      <w:r>
        <w:rPr>
          <w:rFonts w:ascii="Arial" w:cs="Arial" w:eastAsia="Arial" w:hAnsi="Arial"/>
          <w:i/>
          <w:iCs/>
          <w:sz w:val="21"/>
          <w:szCs w:val="21"/>
        </w:rPr>
        <w:t xml:space="preserve">Advances in Neural Information Processing Systems</w:t>
      </w:r>
      <w:r>
        <w:rPr>
          <w:rFonts w:ascii="Arial" w:cs="Arial" w:eastAsia="Arial" w:hAnsi="Arial"/>
          <w:sz w:val="21"/>
          <w:szCs w:val="21"/>
        </w:rPr>
        <w:t xml:space="preserve">, 30, 4765–4774.</w:t>
      </w:r>
    </w:p>
    <w:p>
      <w:pPr>
        <w:spacing w:after="140" w:before="0" w:line="240" w:lineRule="auto"/>
        <w:ind w:left="720" w:hanging="720"/>
        <w:jc w:val="both"/>
      </w:pPr>
      <w:r>
        <w:rPr>
          <w:rFonts w:ascii="Arial" w:cs="Arial" w:eastAsia="Arial" w:hAnsi="Arial"/>
          <w:sz w:val="21"/>
          <w:szCs w:val="21"/>
        </w:rPr>
        <w:t xml:space="preserve">Malhotra, A., Ayappa, I., Ayas, N., Collop, N., Hopps, D., Jackson, N., Javaheri, S., Khosla, S., Patel, S. R., Punjabi, N. M., Somers, V. K., Strollo, P. J., Strohl, K. P., Weaver, T. E., &amp; Yaggi, H. K. (2021). Metrics of sleep apnea severity: beyond the apnea-hypopnea index. </w:t>
      </w:r>
      <w:r>
        <w:rPr>
          <w:rFonts w:ascii="Arial" w:cs="Arial" w:eastAsia="Arial" w:hAnsi="Arial"/>
          <w:i/>
          <w:iCs/>
          <w:sz w:val="21"/>
          <w:szCs w:val="21"/>
        </w:rPr>
        <w:t xml:space="preserve">Sleep</w:t>
      </w:r>
      <w:r>
        <w:rPr>
          <w:rFonts w:ascii="Arial" w:cs="Arial" w:eastAsia="Arial" w:hAnsi="Arial"/>
          <w:sz w:val="21"/>
          <w:szCs w:val="21"/>
        </w:rPr>
        <w:t xml:space="preserve">, 44(7), zsab030. https://doi.org/10.1093/sleep/zsab030</w:t>
      </w:r>
    </w:p>
    <w:p>
      <w:pPr>
        <w:spacing w:after="140" w:before="0" w:line="240" w:lineRule="auto"/>
        <w:ind w:left="720" w:hanging="720"/>
        <w:jc w:val="both"/>
      </w:pPr>
      <w:r>
        <w:rPr>
          <w:rFonts w:ascii="Arial" w:cs="Arial" w:eastAsia="Arial" w:hAnsi="Arial"/>
          <w:sz w:val="21"/>
          <w:szCs w:val="21"/>
        </w:rPr>
        <w:t xml:space="preserve">Marin, J. M., Carrizo, S. J., Vicente, E., &amp; Agusti, A. G. N. (2005). Long-term cardiovascular outcomes in men with obstructive sleep apnoea-hypopnoea with or without treatment with continuous positive airway pressure: an observational study. </w:t>
      </w:r>
      <w:r>
        <w:rPr>
          <w:rFonts w:ascii="Arial" w:cs="Arial" w:eastAsia="Arial" w:hAnsi="Arial"/>
          <w:i/>
          <w:iCs/>
          <w:sz w:val="21"/>
          <w:szCs w:val="21"/>
        </w:rPr>
        <w:t xml:space="preserve">The Lancet</w:t>
      </w:r>
      <w:r>
        <w:rPr>
          <w:rFonts w:ascii="Arial" w:cs="Arial" w:eastAsia="Arial" w:hAnsi="Arial"/>
          <w:sz w:val="21"/>
          <w:szCs w:val="21"/>
        </w:rPr>
        <w:t xml:space="preserve">, 365(9464), 1046–1053. https://doi.org/10.1016/S0140-6736(05)71141-7</w:t>
      </w:r>
    </w:p>
    <w:p>
      <w:pPr>
        <w:spacing w:after="140" w:before="0" w:line="240" w:lineRule="auto"/>
        <w:ind w:left="720" w:hanging="720"/>
        <w:jc w:val="both"/>
      </w:pPr>
      <w:r>
        <w:rPr>
          <w:rFonts w:ascii="Arial" w:cs="Arial" w:eastAsia="Arial" w:hAnsi="Arial"/>
          <w:sz w:val="21"/>
          <w:szCs w:val="21"/>
        </w:rPr>
        <w:t xml:space="preserve">Peppard, P. E., Young, T., Barnet, J. H., Palta, M., Hagen, E. W., &amp; Hla, K. M. (2013). Increased prevalence of sleep-disordered breathing in adults. </w:t>
      </w:r>
      <w:r>
        <w:rPr>
          <w:rFonts w:ascii="Arial" w:cs="Arial" w:eastAsia="Arial" w:hAnsi="Arial"/>
          <w:i/>
          <w:iCs/>
          <w:sz w:val="21"/>
          <w:szCs w:val="21"/>
        </w:rPr>
        <w:t xml:space="preserve">American Journal of Epidemiology</w:t>
      </w:r>
      <w:r>
        <w:rPr>
          <w:rFonts w:ascii="Arial" w:cs="Arial" w:eastAsia="Arial" w:hAnsi="Arial"/>
          <w:sz w:val="21"/>
          <w:szCs w:val="21"/>
        </w:rPr>
        <w:t xml:space="preserve">, 177(9), 1006–1014. https://doi.org/10.1093/aje/kws342</w:t>
      </w:r>
    </w:p>
    <w:p>
      <w:pPr>
        <w:spacing w:after="140" w:before="0" w:line="240" w:lineRule="auto"/>
        <w:ind w:left="720" w:hanging="720"/>
        <w:jc w:val="both"/>
      </w:pPr>
      <w:r>
        <w:rPr>
          <w:rFonts w:ascii="Arial" w:cs="Arial" w:eastAsia="Arial" w:hAnsi="Arial"/>
          <w:sz w:val="21"/>
          <w:szCs w:val="21"/>
        </w:rPr>
        <w:t xml:space="preserve">Punjabi, N. M., Caffo, B. S., Goodwin, J. L., Gottlieb, D. J., Newman, A. B., O'Connor, G. T., Rapoport, D. M., Redline, S., Resnick, H. E., Robbins, J. A., Shahar, E., Unruh, M. L., &amp; Samet, J. M. (2009). Sleep-disordered breathing and mortality: a prospective cohort study. </w:t>
      </w:r>
      <w:r>
        <w:rPr>
          <w:rFonts w:ascii="Arial" w:cs="Arial" w:eastAsia="Arial" w:hAnsi="Arial"/>
          <w:i/>
          <w:iCs/>
          <w:sz w:val="21"/>
          <w:szCs w:val="21"/>
        </w:rPr>
        <w:t xml:space="preserve">PLoS Medicine</w:t>
      </w:r>
      <w:r>
        <w:rPr>
          <w:rFonts w:ascii="Arial" w:cs="Arial" w:eastAsia="Arial" w:hAnsi="Arial"/>
          <w:sz w:val="21"/>
          <w:szCs w:val="21"/>
        </w:rPr>
        <w:t xml:space="preserve">, 6(8), e1000132. https://doi.org/10.1371/journal.pmed.1000132</w:t>
      </w:r>
    </w:p>
    <w:p>
      <w:pPr>
        <w:spacing w:after="140" w:before="0" w:line="240" w:lineRule="auto"/>
        <w:ind w:left="720" w:hanging="720"/>
        <w:jc w:val="both"/>
      </w:pPr>
      <w:r>
        <w:rPr>
          <w:rFonts w:ascii="Arial" w:cs="Arial" w:eastAsia="Arial" w:hAnsi="Arial"/>
          <w:sz w:val="21"/>
          <w:szCs w:val="21"/>
        </w:rP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rFonts w:ascii="Arial" w:cs="Arial" w:eastAsia="Arial" w:hAnsi="Arial"/>
          <w:i/>
          <w:iCs/>
          <w:sz w:val="21"/>
          <w:szCs w:val="21"/>
        </w:rPr>
        <w:t xml:space="preserve">Ecography</w:t>
      </w:r>
      <w:r>
        <w:rPr>
          <w:rFonts w:ascii="Arial" w:cs="Arial" w:eastAsia="Arial" w:hAnsi="Arial"/>
          <w:sz w:val="21"/>
          <w:szCs w:val="21"/>
        </w:rPr>
        <w:t xml:space="preserve">, 40(8), 913–929. https://doi.org/10.1111/ecog.02881</w:t>
      </w:r>
    </w:p>
    <w:p>
      <w:pPr>
        <w:spacing w:after="140" w:before="0" w:line="240" w:lineRule="auto"/>
        <w:ind w:left="720" w:hanging="720"/>
        <w:jc w:val="both"/>
      </w:pPr>
      <w:r>
        <w:rPr>
          <w:rFonts w:ascii="Arial" w:cs="Arial" w:eastAsia="Arial" w:hAnsi="Arial"/>
          <w:sz w:val="21"/>
          <w:szCs w:val="21"/>
        </w:rPr>
        <w:t xml:space="preserve">Shamsuzzaman, A. S. M., Gersh, B. J., &amp; Somers, V. K. (2003). Obstructive sleep apnea: implications for cardiac and vascular disease. </w:t>
      </w:r>
      <w:r>
        <w:rPr>
          <w:rFonts w:ascii="Arial" w:cs="Arial" w:eastAsia="Arial" w:hAnsi="Arial"/>
          <w:i/>
          <w:iCs/>
          <w:sz w:val="21"/>
          <w:szCs w:val="21"/>
        </w:rPr>
        <w:t xml:space="preserve">JAMA</w:t>
      </w:r>
      <w:r>
        <w:rPr>
          <w:rFonts w:ascii="Arial" w:cs="Arial" w:eastAsia="Arial" w:hAnsi="Arial"/>
          <w:sz w:val="21"/>
          <w:szCs w:val="21"/>
        </w:rPr>
        <w:t xml:space="preserve">, 290(14), 1906–1914. https://doi.org/10.1001/jama.290.14.1906</w:t>
      </w:r>
    </w:p>
    <w:p>
      <w:pPr>
        <w:spacing w:after="140" w:before="0" w:line="240" w:lineRule="auto"/>
        <w:ind w:left="720" w:hanging="720"/>
        <w:jc w:val="both"/>
      </w:pPr>
      <w:r>
        <w:rPr>
          <w:rFonts w:ascii="Arial" w:cs="Arial" w:eastAsia="Arial" w:hAnsi="Arial"/>
          <w:sz w:val="21"/>
          <w:szCs w:val="21"/>
        </w:rPr>
        <w:t xml:space="preserve">Somers, V. K., Dyken, M. E., Mark, A. L., &amp; Abboud, F. M. (1993). Sympathetic-nerve activity during sleep in normal subjects. </w:t>
      </w:r>
      <w:r>
        <w:rPr>
          <w:rFonts w:ascii="Arial" w:cs="Arial" w:eastAsia="Arial" w:hAnsi="Arial"/>
          <w:i/>
          <w:iCs/>
          <w:sz w:val="21"/>
          <w:szCs w:val="21"/>
        </w:rPr>
        <w:t xml:space="preserve">New England Journal of Medicine</w:t>
      </w:r>
      <w:r>
        <w:rPr>
          <w:rFonts w:ascii="Arial" w:cs="Arial" w:eastAsia="Arial" w:hAnsi="Arial"/>
          <w:sz w:val="21"/>
          <w:szCs w:val="21"/>
        </w:rPr>
        <w:t xml:space="preserve">, 328(5), 303–307. https://doi.org/10.1056/NEJM199302043280502</w:t>
      </w:r>
    </w:p>
    <w:p>
      <w:pPr>
        <w:spacing w:after="140" w:before="0" w:line="240" w:lineRule="auto"/>
        <w:ind w:left="720" w:hanging="720"/>
        <w:jc w:val="both"/>
      </w:pPr>
      <w:r>
        <w:rPr>
          <w:rFonts w:ascii="Arial" w:cs="Arial" w:eastAsia="Arial" w:hAnsi="Arial"/>
          <w:sz w:val="21"/>
          <w:szCs w:val="21"/>
        </w:rPr>
        <w:t xml:space="preserve">Task Force of the European Society of Cardiology and the North American Society of Pacing and Electrophysiology. (1996). Heart rate variability: Standards of measurement, physiological interpretation, and clinical use. </w:t>
      </w:r>
      <w:r>
        <w:rPr>
          <w:rFonts w:ascii="Arial" w:cs="Arial" w:eastAsia="Arial" w:hAnsi="Arial"/>
          <w:i/>
          <w:iCs/>
          <w:sz w:val="21"/>
          <w:szCs w:val="21"/>
        </w:rPr>
        <w:t xml:space="preserve">Circulation</w:t>
      </w:r>
      <w:r>
        <w:rPr>
          <w:rFonts w:ascii="Arial" w:cs="Arial" w:eastAsia="Arial" w:hAnsi="Arial"/>
          <w:sz w:val="21"/>
          <w:szCs w:val="21"/>
        </w:rPr>
        <w:t xml:space="preserve">, 93(5), 1043–1065. https://doi.org/10.1161/01.CIR.93.5.1043</w:t>
      </w:r>
    </w:p>
    <w:p>
      <w:pPr>
        <w:spacing w:after="140" w:before="0" w:line="240" w:lineRule="auto"/>
        <w:ind w:left="720" w:hanging="720"/>
        <w:jc w:val="both"/>
      </w:pPr>
      <w:r>
        <w:rPr>
          <w:rFonts w:ascii="Arial" w:cs="Arial" w:eastAsia="Arial" w:hAnsi="Arial"/>
          <w:sz w:val="21"/>
          <w:szCs w:val="21"/>
        </w:rPr>
        <w:t xml:space="preserve">Ye, L., Pien, G. W., Ratcliffe, S. J., Björnsdóttir, E., Arnardottir, E. S., Pack, A. I., Benediktsdóttir, B., &amp; Gislason, T. (2014). The different clinical faces of obstructive sleep apnoea: a cluster analysis. </w:t>
      </w:r>
      <w:r>
        <w:rPr>
          <w:rFonts w:ascii="Arial" w:cs="Arial" w:eastAsia="Arial" w:hAnsi="Arial"/>
          <w:i/>
          <w:iCs/>
          <w:sz w:val="21"/>
          <w:szCs w:val="21"/>
        </w:rPr>
        <w:t xml:space="preserve">European Respiratory Journal</w:t>
      </w:r>
      <w:r>
        <w:rPr>
          <w:rFonts w:ascii="Arial" w:cs="Arial" w:eastAsia="Arial" w:hAnsi="Arial"/>
          <w:sz w:val="21"/>
          <w:szCs w:val="21"/>
        </w:rPr>
        <w:t xml:space="preserve">, 44(6), 1600–1607. https://doi.org/10.1183/09031936.00032314</w:t>
      </w:r>
    </w:p>
    <w:p>
      <w:pPr>
        <w:spacing w:after="140" w:before="0" w:line="240" w:lineRule="auto"/>
        <w:ind w:left="720" w:hanging="720"/>
        <w:jc w:val="both"/>
      </w:pPr>
      <w:r>
        <w:rPr>
          <w:rFonts w:ascii="Arial" w:cs="Arial" w:eastAsia="Arial" w:hAnsi="Arial"/>
          <w:sz w:val="21"/>
          <w:szCs w:val="21"/>
        </w:rPr>
        <w:t xml:space="preserve">Yoon, H., &amp; Choi, S. H. (2023). Technologies for sleep monitoring at home: wearables and nearables. </w:t>
      </w:r>
      <w:r>
        <w:rPr>
          <w:rFonts w:ascii="Arial" w:cs="Arial" w:eastAsia="Arial" w:hAnsi="Arial"/>
          <w:i/>
          <w:iCs/>
          <w:sz w:val="21"/>
          <w:szCs w:val="21"/>
        </w:rPr>
        <w:t xml:space="preserve">Biomedical Engineering Letters</w:t>
      </w:r>
      <w:r>
        <w:rPr>
          <w:rFonts w:ascii="Arial" w:cs="Arial" w:eastAsia="Arial" w:hAnsi="Arial"/>
          <w:sz w:val="21"/>
          <w:szCs w:val="21"/>
        </w:rPr>
        <w:t xml:space="preserve">, 13(3), 313–327. https://doi.org/10.1007/s13534-023-00305-8</w:t>
      </w:r>
    </w:p>
    <w:p>
      <w:pPr>
        <w:spacing w:after="140" w:before="0" w:line="240" w:lineRule="auto"/>
        <w:ind w:left="720" w:hanging="720"/>
        <w:jc w:val="both"/>
      </w:pPr>
      <w:r>
        <w:rPr>
          <w:rFonts w:ascii="Arial" w:cs="Arial" w:eastAsia="Arial" w:hAnsi="Arial"/>
          <w:sz w:val="21"/>
          <w:szCs w:val="21"/>
        </w:rPr>
        <w:t xml:space="preserve">Young, T., Palta, M., Dempsey, J., Skatrud, J., Weber, S., &amp; Badr, S. (1993). The occurrence of sleep-disordered breathing among middle-aged adults. </w:t>
      </w:r>
      <w:r>
        <w:rPr>
          <w:rFonts w:ascii="Arial" w:cs="Arial" w:eastAsia="Arial" w:hAnsi="Arial"/>
          <w:i/>
          <w:iCs/>
          <w:sz w:val="21"/>
          <w:szCs w:val="21"/>
        </w:rPr>
        <w:t xml:space="preserve">New England Journal of Medicine</w:t>
      </w:r>
      <w:r>
        <w:rPr>
          <w:rFonts w:ascii="Arial" w:cs="Arial" w:eastAsia="Arial" w:hAnsi="Arial"/>
          <w:sz w:val="21"/>
          <w:szCs w:val="21"/>
        </w:rPr>
        <w:t xml:space="preserve">, 328(17), 1230–1235. https://doi.org/10.1056/NEJM199304293281704</w:t>
      </w:r>
    </w:p>
    <w:p>
      <w:pPr>
        <w:spacing w:after="140" w:before="0" w:line="240" w:lineRule="auto"/>
        <w:ind w:left="720" w:hanging="720"/>
        <w:jc w:val="both"/>
      </w:pPr>
      <w:r>
        <w:rPr>
          <w:rFonts w:ascii="Arial" w:cs="Arial" w:eastAsia="Arial" w:hAnsi="Arial"/>
          <w:sz w:val="21"/>
          <w:szCs w:val="21"/>
        </w:rPr>
        <w:t xml:space="preserve">Zinchuk, A. V., &amp; Yaggi, H. K. (2020). Phenotypic subtypes of OSA: a challenge and opportunity for precision medicine. </w:t>
      </w:r>
      <w:r>
        <w:rPr>
          <w:rFonts w:ascii="Arial" w:cs="Arial" w:eastAsia="Arial" w:hAnsi="Arial"/>
          <w:i/>
          <w:iCs/>
          <w:sz w:val="21"/>
          <w:szCs w:val="21"/>
        </w:rPr>
        <w:t xml:space="preserve">Chest</w:t>
      </w:r>
      <w:r>
        <w:rPr>
          <w:rFonts w:ascii="Arial" w:cs="Arial" w:eastAsia="Arial" w:hAnsi="Arial"/>
          <w:sz w:val="21"/>
          <w:szCs w:val="21"/>
        </w:rPr>
        <w:t xml:space="preserve">, 157(2), 403–420. https://doi.org/10.1016/j.chest.2019.09.002</w:t>
      </w:r>
    </w:p>
    <w:p>
      <w:pPr>
        <w:spacing w:after="0" w:before="200"/>
      </w:pPr>
      <w:r>
        <w:t xml:space="preserve"/>
      </w:r>
    </w:p>
    <w:p>
      <w:pPr>
        <w:pBdr>
          <w:top w:val="single" w:color="D1D5DB" w:sz="4"/>
        </w:pBdr>
        <w:spacing w:after="80" w:before="320"/>
        <w:jc w:val="right"/>
      </w:pPr>
      <w:r>
        <w:rPr>
          <w:rFonts w:ascii="Arial" w:cs="Arial" w:eastAsia="Arial" w:hAnsi="Arial"/>
          <w:i/>
          <w:iCs/>
          <w:color w:val="6B7280"/>
          <w:sz w:val="18"/>
          <w:szCs w:val="18"/>
        </w:rPr>
        <w:t xml:space="preserve">Continúa en Capítulo 3 — Materiales y Métodos</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spacing w:before="120"/>
      <w:jc w:val="right"/>
    </w:pPr>
    <w:r>
      <w:rPr>
        <w:rFonts w:ascii="Arial" w:cs="Arial" w:eastAsia="Arial" w:hAnsi="Arial"/>
        <w:color w:val="6B7280"/>
        <w:sz w:val="18"/>
        <w:szCs w:val="18"/>
      </w:rPr>
      <w:t xml:space="preserve">Roberto Inza · Universidad Austral · 2026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pBdr>
      <w:spacing w:after="120" w:before="0"/>
    </w:pPr>
    <w:r>
      <w:rPr>
        <w:rFonts w:ascii="Arial" w:cs="Arial" w:eastAsia="Arial" w:hAnsi="Arial"/>
        <w:color w:val="6B7280"/>
        <w:sz w:val="18"/>
        <w:szCs w:val="18"/>
      </w:rPr>
      <w:t xml:space="preserve">Proyecto APNEA · Tesis de Maestría</w:t>
    </w:r>
    <w:r>
      <w:rPr>
        <w:rFonts w:ascii="Arial" w:cs="Arial" w:eastAsia="Arial" w:hAnsi="Arial"/>
        <w:i/>
        <w:iCs/>
        <w:color w:val="6B7280"/>
        <w:sz w:val="18"/>
        <w:szCs w:val="18"/>
      </w:rPr>
      <w:t xml:space="preserve">        Capítulo 2 — Marco Teórico  (v09)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E3A5F"/>
      <w:sz w:val="30"/>
      <w:szCs w:val="30"/>
    </w:rPr>
  </w:style>
  <w:style w:type="paragraph" w:styleId="Heading2">
    <w:name w:val="Heading 2"/>
    <w:basedOn w:val="Normal"/>
    <w:next w:val="Normal"/>
    <w:qFormat/>
    <w:pPr>
      <w:spacing w:after="160" w:before="380"/>
      <w:outlineLvl w:val="1"/>
    </w:pPr>
    <w:rPr>
      <w:rFonts w:ascii="Arial" w:cs="Arial" w:eastAsia="Arial" w:hAnsi="Arial"/>
      <w:b/>
      <w:bCs/>
      <w:color w:val="1E3A5F"/>
      <w:sz w:val="25"/>
      <w:szCs w:val="25"/>
    </w:rPr>
  </w:style>
  <w:style w:type="paragraph" w:styleId="Heading3">
    <w:name w:val="Heading 3"/>
    <w:basedOn w:val="Normal"/>
    <w:next w:val="Normal"/>
    <w:qFormat/>
    <w:pPr>
      <w:spacing w:after="100" w:before="2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2026-05-23T21:40:36.186Z</dcterms:created>
  <dcterms:modified xsi:type="dcterms:W3CDTF">2026-05-23T21:40:36.187Z</dcterms:modified>
</cp:coreProperties>
</file>

<file path=docProps/custom.xml><?xml version="1.0" encoding="utf-8"?>
<Properties xmlns="http://schemas.openxmlformats.org/officeDocument/2006/custom-properties" xmlns:vt="http://schemas.openxmlformats.org/officeDocument/2006/docPropsVTypes"/>
</file>