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3</w:t>
      </w:r>
    </w:p>
    <w:p>
      <w:pPr>
        <w:spacing w:after="120" w:before="0"/>
      </w:pPr>
      <w:r>
        <w:rPr>
          <w:rFonts w:ascii="Arial" w:cs="Arial" w:eastAsia="Arial" w:hAnsi="Arial"/>
          <w:b/>
          <w:bCs/>
          <w:color w:val="1E3A5F"/>
          <w:sz w:val="36"/>
          <w:szCs w:val="36"/>
        </w:rPr>
        <w:t xml:space="preserve">Materiales y Métodos</w:t>
      </w:r>
    </w:p>
    <w:p>
      <w:pPr>
        <w:spacing w:after="240" w:before="0"/>
      </w:pPr>
      <w:r>
        <w:rPr>
          <w:rFonts w:ascii="Arial" w:cs="Arial" w:eastAsia="Arial" w:hAnsi="Arial"/>
          <w:color w:val="6B7280"/>
          <w:sz w:val="18"/>
          <w:szCs w:val="18"/>
        </w:rPr>
        <w:t xml:space="preserve">Versión 10  ·  Mayo 2026</w:t>
      </w:r>
    </w:p>
    <w:p>
      <w:pPr>
        <w:spacing w:after="80" w:before="80" w:line="276"/>
      </w:pPr>
      <w:r>
        <w:rPr>
          <w:rFonts w:ascii="Arial" w:cs="Arial" w:eastAsia="Arial" w:hAnsi="Arial"/>
          <w:sz w:val="22"/>
          <w:szCs w:val="22"/>
        </w:rPr>
        <w:t xml:space="preserve">El presente capítulo describe la infraestructura de datos, los métodos analíticos y la estrategia de validación que operacionalizan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pPr>
        <w:pStyle w:val="Heading2"/>
        <w:spacing w:after="120" w:before="240"/>
      </w:pPr>
      <w:r>
        <w:rPr>
          <w:rFonts w:ascii="Arial" w:cs="Arial" w:eastAsia="Arial" w:hAnsi="Arial"/>
          <w:b/>
          <w:bCs/>
          <w:color w:val="1E3A5F"/>
          <w:sz w:val="28"/>
          <w:szCs w:val="28"/>
        </w:rPr>
        <w:t xml:space="preserve">3.1  Diseño del estudio y consideraciones éticas</w:t>
      </w:r>
    </w:p>
    <w:p>
      <w:pPr>
        <w:spacing w:after="80" w:before="80" w:line="276"/>
      </w:pPr>
      <w:r>
        <w:rPr>
          <w:rFonts w:ascii="Arial" w:cs="Arial" w:eastAsia="Arial" w:hAnsi="Arial"/>
          <w:sz w:val="22"/>
          <w:szCs w:val="22"/>
        </w:rPr>
        <w:t xml:space="preserve">Se realizó un análisis observacional retrospectivo de señales fisiológicas nocturnas adquiridas en entorno domiciliario, en el marco del protocolo CLP-275001 v1.2 (abril 2025), desarrollado conforme a los estándares ICH GCP, las regulaciones FDA 21 CFR Parts 11 y 50, y las normativas ANMAT vigentes. El diseño es cruzado aleatorizado doble ciego en cuanto al orden de las condiciones de monitoreo; la fase analítica objeto de esta tesis es observacional.</w:t>
      </w:r>
    </w:p>
    <w:p>
      <w:pPr>
        <w:spacing w:after="80" w:before="80" w:line="276"/>
      </w:pPr>
      <w:r>
        <w:rPr>
          <w:rFonts w:ascii="Arial" w:cs="Arial" w:eastAsia="Arial" w:hAnsi="Arial"/>
          <w:sz w:val="22"/>
          <w:szCs w:val="22"/>
        </w:rPr>
        <w:t xml:space="preserve">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pPr>
        <w:pStyle w:val="Heading2"/>
        <w:spacing w:after="120" w:before="240"/>
      </w:pPr>
      <w:r>
        <w:rPr>
          <w:rFonts w:ascii="Arial" w:cs="Arial" w:eastAsia="Arial" w:hAnsi="Arial"/>
          <w:b/>
          <w:bCs/>
          <w:color w:val="1E3A5F"/>
          <w:sz w:val="28"/>
          <w:szCs w:val="28"/>
        </w:rPr>
        <w:t xml:space="preserve">3.2  Participantes y adquisición de datos</w:t>
      </w:r>
    </w:p>
    <w:p>
      <w:pPr>
        <w:pStyle w:val="Heading3"/>
        <w:spacing w:after="80" w:before="180"/>
      </w:pPr>
      <w:r>
        <w:rPr>
          <w:rFonts w:ascii="Arial" w:cs="Arial" w:eastAsia="Arial" w:hAnsi="Arial"/>
          <w:b/>
          <w:bCs/>
          <w:color w:val="1E3A5F"/>
          <w:sz w:val="24"/>
          <w:szCs w:val="24"/>
        </w:rPr>
        <w:t xml:space="preserve">3.2.1  Cohorte</w:t>
      </w:r>
    </w:p>
    <w:p>
      <w:pPr>
        <w:spacing w:after="80" w:before="80" w:line="276"/>
      </w:pPr>
      <w:r>
        <w:rPr>
          <w:rFonts w:ascii="Arial" w:cs="Arial" w:eastAsia="Arial" w:hAnsi="Arial"/>
          <w:sz w:val="22"/>
          <w:szCs w:val="22"/>
        </w:rPr>
        <w:t xml:space="preserve">La cohorte incluyó 12 participantes con sospecha de trastornos respiratorios del sueño, reclutados para representar el espectro completo de severidad AASM —desde normal hasta grave— según ODI3. La Tabla 3.1 resume las características demográficas y clínicas. Los criterios de exclusión contemplaron registros con cobertura de señal inferior al 90 % del tiempo de monitoreo, duración inferior a 3 horas o artefactos técnicos irrecuperables; estos criterios se aplican a nivel de noche, no de paciente. Un subgrupo de 8 pacientes con ≥ 10 noches in_quality (cohorte estricta) se reservó para la validación de modelos supervisados (§3.6–3.7). La variabilidad intraindividual —noches con perfiles fisiológicos marcadamente distintos para un mismo paciente— se trata como información estructural, no como ruido, conforme al marco conceptual del Capítulo 2.</w:t>
      </w:r>
    </w:p>
    <w:p>
      <w:pPr>
        <w:spacing w:after="0" w:before="120"/>
      </w:pPr>
      <w:r>
        <w:t xml:space="preserve"/>
      </w:r>
    </w:p>
    <w:p>
      <w:pPr>
        <w:spacing w:after="40" w:before="60"/>
      </w:pPr>
      <w:r>
        <w:rPr>
          <w:rFonts w:ascii="Arial" w:cs="Arial" w:eastAsia="Arial" w:hAnsi="Arial"/>
          <w:b/>
          <w:bCs/>
          <w:sz w:val="20"/>
          <w:szCs w:val="20"/>
        </w:rPr>
        <w:t xml:space="preserve">Tabla 3.1. Características demográficas y clínicas de la cohorte (n = 12).</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0"/>
        <w:gridCol w:w="2333"/>
        <w:gridCol w:w="1333"/>
      </w:tblGrid>
      <w:tr>
        <w:tc>
          <w:tcPr>
            <w:tcW w:type="dxa" w:w="5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Variable</w:t>
            </w:r>
          </w:p>
        </w:tc>
        <w:tc>
          <w:tcPr>
            <w:tcW w:type="dxa" w:w="2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Valor (media ± DE o n)</w:t>
            </w:r>
          </w:p>
        </w:tc>
        <w:tc>
          <w:tcPr>
            <w:tcW w:type="dxa" w:w="1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Rango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participantes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Noches totales (quality)</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10–90 por paciente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Sexo (M/F)</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1</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Edad (años)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51,5 ± 11,3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32–69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IMC (kg/m²)</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27,4 ± 4,8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20,7–37,1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ODI3 (ev/h)</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 ± 15,8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0,9–57,3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SpO₂ basal media (%)</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95,1 ± 1,5</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92,5–97,3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Severidad (Normal/Leve/Mod./Grave)</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 5 / 3 / 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 ODI3 medio</w:t>
            </w:r>
          </w:p>
        </w:tc>
      </w:tr>
    </w:tbl>
    <w:p>
      <w:pPr>
        <w:spacing w:after="100" w:before="40"/>
      </w:pPr>
      <w:r>
        <w:rPr>
          <w:rFonts w:ascii="Arial" w:cs="Arial" w:eastAsia="Arial" w:hAnsi="Arial"/>
          <w:i/>
          <w:iCs/>
          <w:sz w:val="18"/>
          <w:szCs w:val="18"/>
        </w:rPr>
        <w:t xml:space="preserve">Nota. Edad y SpO₂ basal: estimación a partir de registros disponibles en el pipeline. IMC y ODI3: medias de las noches in_quality por paciente. Severidad por ODI3 medio según umbrales AASM (Berry et al., 2012).</w:t>
      </w:r>
    </w:p>
    <w:p>
      <w:pPr>
        <w:pStyle w:val="Heading3"/>
        <w:spacing w:after="80" w:before="180"/>
      </w:pPr>
      <w:r>
        <w:rPr>
          <w:rFonts w:ascii="Arial" w:cs="Arial" w:eastAsia="Arial" w:hAnsi="Arial"/>
          <w:b/>
          <w:bCs/>
          <w:color w:val="1E3A5F"/>
          <w:sz w:val="24"/>
          <w:szCs w:val="24"/>
        </w:rPr>
        <w:t xml:space="preserve">3.2.2  Dispositivo SOMNI 6000</w:t>
      </w:r>
    </w:p>
    <w:p>
      <w:pPr>
        <w:spacing w:after="80" w:before="80" w:line="276"/>
      </w:pPr>
      <w:r>
        <w:rPr>
          <w:rFonts w:ascii="Arial" w:cs="Arial" w:eastAsia="Arial" w:hAnsi="Arial"/>
          <w:sz w:val="22"/>
          <w:szCs w:val="22"/>
        </w:rPr>
        <w:t xml:space="preserve">Las señales fisiológicas fueron adquiridas con el SOMNI 6000, un monitor portátil de uso domiciliario aprobado por ANMAT. El dispositivo integra un pulsioxímetro de dedo (PPG) y un estimulador eléctrico transcutáneo en un único sensor no invasivo. Registra tres señales a 1 Hz: saturación de oxígeno (SpO₂), frecuencia cardíaca (FC) y movimiento de dedo (MOV). La transmisión es Bluetooth LE a un dispositivo móvil, desde el que se exportan los datos en formato Excel estructurado. La resolución temporal de 1 Hz es suficiente para la caracterización morfológica de eventos de desaturación (duración mínima ≥ 10 s) pero no para el análisis de variabilidad de alta frecuencia de la FC.</w:t>
      </w:r>
    </w:p>
    <w:p>
      <w:pPr>
        <w:pStyle w:val="Heading3"/>
        <w:spacing w:after="80" w:before="180"/>
      </w:pPr>
      <w:r>
        <w:rPr>
          <w:rFonts w:ascii="Arial" w:cs="Arial" w:eastAsia="Arial" w:hAnsi="Arial"/>
          <w:b/>
          <w:bCs/>
          <w:color w:val="1E3A5F"/>
          <w:sz w:val="24"/>
          <w:szCs w:val="24"/>
        </w:rPr>
        <w:t xml:space="preserve">3.2.3  Protocolo de adquisición</w:t>
      </w:r>
    </w:p>
    <w:p>
      <w:pPr>
        <w:spacing w:after="80" w:before="80" w:line="276"/>
      </w:pPr>
      <w:r>
        <w:rPr>
          <w:rFonts w:ascii="Arial" w:cs="Arial" w:eastAsia="Arial" w:hAnsi="Arial"/>
          <w:sz w:val="22"/>
          <w:szCs w:val="22"/>
        </w:rPr>
        <w:t xml:space="preserve">Los participantes utilizaron el dispositivo durante el sueño en su domicilio habitual, en noches consecutivas o semiconsecutivas sin supervisión presencial. No se impusieron restricciones de postura, alimentación o actividad previas al registro. Esta modalidad domiciliaria maximiza la validez ecológica del corpus —las noches reflejan condiciones reales de sueño— a costa de una variabilidad situacional superior a la de un entorno de laboratorio controlado, lo que refuerza la necesidad de múltiples noches por paciente para estimaciones robustas (§3.8.2).</w:t>
      </w:r>
    </w:p>
    <w:p>
      <w:pPr>
        <w:pStyle w:val="Heading2"/>
        <w:spacing w:after="120" w:before="240"/>
      </w:pPr>
      <w:r>
        <w:rPr>
          <w:rFonts w:ascii="Arial" w:cs="Arial" w:eastAsia="Arial" w:hAnsi="Arial"/>
          <w:b/>
          <w:bCs/>
          <w:color w:val="1E3A5F"/>
          <w:sz w:val="28"/>
          <w:szCs w:val="28"/>
        </w:rPr>
        <w:t xml:space="preserve">3.3  Pipeline PAC_v3: arquitectura de procesamiento</w:t>
      </w:r>
    </w:p>
    <w:p>
      <w:pPr>
        <w:pStyle w:val="Heading3"/>
        <w:spacing w:after="80" w:before="180"/>
      </w:pPr>
      <w:r>
        <w:rPr>
          <w:rFonts w:ascii="Arial" w:cs="Arial" w:eastAsia="Arial" w:hAnsi="Arial"/>
          <w:b/>
          <w:bCs/>
          <w:color w:val="1E3A5F"/>
          <w:sz w:val="24"/>
          <w:szCs w:val="24"/>
        </w:rPr>
        <w:t xml:space="preserve">3.3.1  Visión general</w:t>
      </w:r>
    </w:p>
    <w:p>
      <w:pPr>
        <w:spacing w:after="80" w:before="80" w:line="276"/>
      </w:pPr>
      <w:r>
        <w:rPr>
          <w:rFonts w:ascii="Arial" w:cs="Arial" w:eastAsia="Arial" w:hAnsi="Arial"/>
          <w:sz w:val="22"/>
          <w:szCs w:val="22"/>
        </w:rPr>
        <w:t xml:space="preserve">PAC_v3 es el pipeline de procesamiento desarrollado ad hoc para esta tesis. Su objetivo es transformar los archivos Excel exportados por el SOMNI 6000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pPr>
        <w:pStyle w:val="Heading3"/>
        <w:spacing w:after="80" w:before="180"/>
      </w:pPr>
      <w:r>
        <w:rPr>
          <w:rFonts w:ascii="Arial" w:cs="Arial" w:eastAsia="Arial" w:hAnsi="Arial"/>
          <w:b/>
          <w:bCs/>
          <w:color w:val="1E3A5F"/>
          <w:sz w:val="24"/>
          <w:szCs w:val="24"/>
        </w:rPr>
        <w:t xml:space="preserve">3.3.2  Capa Bronze: ingesta y trazabilidad</w:t>
      </w:r>
    </w:p>
    <w:p>
      <w:pPr>
        <w:spacing w:after="80" w:before="80" w:line="276"/>
      </w:pPr>
      <w:r>
        <w:rPr>
          <w:rFonts w:ascii="Arial" w:cs="Arial" w:eastAsia="Arial" w:hAnsi="Arial"/>
          <w:sz w:val="22"/>
          <w:szCs w:val="22"/>
        </w:rPr>
        <w:t xml:space="preserve">Bronze parsea los archivos Excel exportados por el SOMNI 6000 y extrae las señales canónicas (SpO₂, FC, MOV y marca temporal) en un DataFrame estandarizado por noche. A cada noche se le asigna un NightRecordID determinístico calculado como MD5(SHA256(archivo) | ts_start), que garantiza trazabilidad completa entre el archivo fuente y cualquier resultado derivado. Un componente de auto-registro detecta identificadores de paciente nuevos y crea entradas stub en el registro, evitando la pérdida silenciosa de datos.</w:t>
      </w:r>
    </w:p>
    <w:p>
      <w:pPr>
        <w:pStyle w:val="Heading3"/>
        <w:spacing w:after="80" w:before="180"/>
      </w:pPr>
      <w:r>
        <w:rPr>
          <w:rFonts w:ascii="Arial" w:cs="Arial" w:eastAsia="Arial" w:hAnsi="Arial"/>
          <w:b/>
          <w:bCs/>
          <w:color w:val="1E3A5F"/>
          <w:sz w:val="24"/>
          <w:szCs w:val="24"/>
        </w:rPr>
        <w:t xml:space="preserve">3.3.3  Capa Silver: control de calidad de señal</w:t>
      </w:r>
    </w:p>
    <w:p>
      <w:pPr>
        <w:spacing w:after="80" w:before="80" w:line="276"/>
      </w:pPr>
      <w:r>
        <w:rPr>
          <w:rFonts w:ascii="Arial" w:cs="Arial" w:eastAsia="Arial" w:hAnsi="Arial"/>
          <w:sz w:val="22"/>
          <w:szCs w:val="22"/>
        </w:rPr>
        <w:t xml:space="preserve">Silver aplica control de calidad sobre las señales canónicas sin excluir noches: su principio es marcar con flags los problemas y delegar las decisiones de exclusión a Gold. Los cuatro criterios aplicados son: (1) rango fisiológico —se reemplaza con NaN toda muestra de SpO₂ &lt; 55 % o FC fuera del rango [30, 200] lpm—; (2) cobertura temporal —umbral ≥ 90 % de muestras válidas sobre la duración esperada—; (3) duración mínima —flags ordenados por subconjunto: noches abortadas (&lt; 1 h) ⊆ noches cortas (&lt; 3 h) ⊆ noches in_quality—; (4) interpolación —gaps de hasta 5 s en SpO₂ se interpolan linealmente; gaps mayores se marcan como artefacto irrecuperable—. Los flags se transfieren como columnas a Gold y definen cuatro niveles de cohorte: corpus completo (C), in_quality (Q), strict (S, ≥ 10 noches in_quality) y por_noche (P, análisis específicos).</w:t>
      </w:r>
    </w:p>
    <w:p>
      <w:pPr>
        <w:pStyle w:val="Heading3"/>
        <w:spacing w:after="80" w:before="180"/>
      </w:pPr>
      <w:r>
        <w:rPr>
          <w:rFonts w:ascii="Arial" w:cs="Arial" w:eastAsia="Arial" w:hAnsi="Arial"/>
          <w:b/>
          <w:bCs/>
          <w:color w:val="1E3A5F"/>
          <w:sz w:val="24"/>
          <w:szCs w:val="24"/>
        </w:rPr>
        <w:t xml:space="preserve">3.3.4  Capa Events: detección y caracterización de EDOs</w:t>
      </w:r>
    </w:p>
    <w:p>
      <w:pPr>
        <w:spacing w:after="80" w:before="80" w:line="276"/>
      </w:pPr>
      <w:r>
        <w:rPr>
          <w:rFonts w:ascii="Arial" w:cs="Arial" w:eastAsia="Arial" w:hAnsi="Arial"/>
          <w:sz w:val="22"/>
          <w:szCs w:val="22"/>
        </w:rPr>
        <w:t xml:space="preserve">Events produce el corpus de Eventos de Desaturación de Oxígeno (EDOs), unidad de análisis central de la tesis. La detección opera sobre spo2_clean (señal SpO₂ post-Silver) mediante tres pasos: (1) baseline móvil —mediana deslizante de los 120 s previos a cada punto, con mínimo de 30 muestras—;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 de descenso y recuperación, área bajo la curva, duration, y la serie normalizada de 30 puntos para el clustering morfológico—. El umbral permisivo de ≥ 2 pp (frente al ODI3 clínico de ≥ 3 pp) maximiza el corpus analítico y captura eventos borderline con morfología informativa; el ODI3 se calcula como subconjunto para mantener compatibilidad clínica.</w:t>
      </w:r>
    </w:p>
    <w:p>
      <w:pPr>
        <w:spacing w:after="80" w:before="80" w:line="276"/>
      </w:pPr>
      <w:r>
        <w:rPr>
          <w:rFonts w:ascii="Arial" w:cs="Arial" w:eastAsia="Arial" w:hAnsi="Arial"/>
          <w:sz w:val="22"/>
          <w:szCs w:val="22"/>
        </w:rPr>
        <w:t xml:space="preserve">La validación del pipeline se realiza comparando los índices calculados por PAC_v3 contra los índices pre-computados del dispositivo mediante un quinteto de métricas: ODI2, ODI3, T90, SpO₂ media y duración media de evento. La concordancia debe superar ρ Spearman ≥ 0,95 en todos los índices para que la noche sea marcada como in_quality.</w:t>
      </w:r>
    </w:p>
    <w:p>
      <w:pPr>
        <w:pStyle w:val="Heading3"/>
        <w:spacing w:after="80" w:before="180"/>
      </w:pPr>
      <w:r>
        <w:rPr>
          <w:rFonts w:ascii="Arial" w:cs="Arial" w:eastAsia="Arial" w:hAnsi="Arial"/>
          <w:b/>
          <w:bCs/>
          <w:color w:val="1E3A5F"/>
          <w:sz w:val="24"/>
          <w:szCs w:val="24"/>
        </w:rPr>
        <w:t xml:space="preserve">3.3.5  Índice de Reactividad Autonómica (ARI) por evento</w:t>
      </w:r>
    </w:p>
    <w:p>
      <w:pPr>
        <w:spacing w:after="80" w:before="80" w:line="276"/>
      </w:pPr>
      <w:r>
        <w:rPr>
          <w:rFonts w:ascii="Arial" w:cs="Arial" w:eastAsia="Arial" w:hAnsi="Arial"/>
          <w:sz w:val="22"/>
          <w:szCs w:val="22"/>
        </w:rPr>
        <w:t xml:space="preserve">Events calcula el ARI para cada EDO detectado. El ARI busca cuantificar la ganancia autonómica del evento: cuánta respuesta fisiológica cardíaca y motora genera el organismo por unidad de estímulo hipóxico. La fórmula canónica, publicada en T1 (Inza et al., en preparación):</w:t>
      </w:r>
    </w:p>
    <w:p>
      <w:pPr>
        <w:spacing w:after="60" w:before="60"/>
        <w:ind w:left="720"/>
      </w:pPr>
      <w:r>
        <w:rPr>
          <w:rFonts w:ascii="Courier New" w:cs="Courier New" w:eastAsia="Courier New" w:hAnsi="Courier New"/>
          <w:sz w:val="20"/>
          <w:szCs w:val="20"/>
        </w:rPr>
        <w:t xml:space="preserve">ARIᵢ = 0,6 · P(hr_gainᵢ) + 0,4 · P(mov_gainᵢ)</w:t>
      </w:r>
    </w:p>
    <w:p>
      <w:pPr>
        <w:spacing w:after="60" w:before="60"/>
        <w:ind w:left="720"/>
      </w:pPr>
      <w:r>
        <w:rPr>
          <w:rFonts w:ascii="Courier New" w:cs="Courier New" w:eastAsia="Courier New" w:hAnsi="Courier New"/>
          <w:sz w:val="20"/>
          <w:szCs w:val="20"/>
        </w:rPr>
        <w:t xml:space="preserve">hr_gainᵢ   = Δhr_bpmᵢ / drop_pctᵢ</w:t>
      </w:r>
    </w:p>
    <w:p>
      <w:pPr>
        <w:spacing w:after="60" w:before="60"/>
        <w:ind w:left="720"/>
      </w:pPr>
      <w:r>
        <w:rPr>
          <w:rFonts w:ascii="Courier New" w:cs="Courier New" w:eastAsia="Courier New" w:hAnsi="Courier New"/>
          <w:sz w:val="20"/>
          <w:szCs w:val="20"/>
        </w:rPr>
        <w:t xml:space="preserve">mov_gainᵢ  = (peak_movᵢ − baseline_movᵢ) / drop_pctᵢ</w:t>
      </w:r>
    </w:p>
    <w:p>
      <w:pPr>
        <w:spacing w:after="60" w:before="60"/>
        <w:ind w:left="720"/>
      </w:pPr>
      <w:r>
        <w:rPr>
          <w:rFonts w:ascii="Courier New" w:cs="Courier New" w:eastAsia="Courier New" w:hAnsi="Courier New"/>
          <w:sz w:val="20"/>
          <w:szCs w:val="20"/>
        </w:rPr>
        <w:t xml:space="preserve">P(·)       = rankdata / N   (N = 85.277 EDOs quality)</w:t>
      </w:r>
    </w:p>
    <w:p>
      <w:pPr>
        <w:spacing w:after="80" w:before="80" w:line="276"/>
      </w:pPr>
      <w:r>
        <w:rPr>
          <w:rFonts w:ascii="Arial" w:cs="Arial" w:eastAsia="Arial" w:hAnsi="Arial"/>
          <w:sz w:val="22"/>
          <w:szCs w:val="22"/>
        </w:rPr>
        <w:t xml:space="preserve">Los pesos 0,6/0,4 reflejan la mayor confiabilidad de la señal cardíaca (PPG) frente al sensor de movimiento. La transformación a percentiles hace el índice adimensional, robusto a diferencias de escala entre señales y comparable entre pacientes. La propiedad central del ARI en esta cohorte es su práctica independencia de la severidad hipóxica: ρ(ARI, drop_pct) = 0,034 (N = 85.277 EDOs), lo que indica que captura una dimensión autonómica no redundante con la profundidad de la caída de SpO₂.</w:t>
      </w:r>
    </w:p>
    <w:p>
      <w:pPr>
        <w:pStyle w:val="Heading3"/>
        <w:spacing w:after="80" w:before="180"/>
      </w:pPr>
      <w:r>
        <w:rPr>
          <w:rFonts w:ascii="Arial" w:cs="Arial" w:eastAsia="Arial" w:hAnsi="Arial"/>
          <w:b/>
          <w:bCs/>
          <w:color w:val="1E3A5F"/>
          <w:sz w:val="24"/>
          <w:szCs w:val="24"/>
        </w:rPr>
        <w:t xml:space="preserve">3.3.6  Capa Gold: consolidación analítica</w:t>
      </w:r>
    </w:p>
    <w:p>
      <w:pPr>
        <w:spacing w:after="80" w:before="80" w:line="276"/>
      </w:pPr>
      <w:r>
        <w:rPr>
          <w:rFonts w:ascii="Arial" w:cs="Arial" w:eastAsia="Arial" w:hAnsi="Arial"/>
          <w:sz w:val="22"/>
          <w:szCs w:val="22"/>
        </w:rPr>
        <w:t xml:space="preserve">Gold consolida el corpus en cinco tablas analíticas siguiendo la filosofía data-lake: preservar toda la información calculada en etapas previas para máxima flexibilidad analítica. Las cinco tablas son: events.parquet (85.277 filas × 25+ features morfológicas + morfotipo + ARI + flags); events_curves.parquet (mismas filas × 30 puntos de serie temporal normalizada de SpO₂); states.parquet (~519.000 ventanas × etiquetas de estado PAC en tres escalas + 24 features); nights.parquet (560 filas × 146 features derivadas de todas las etapas); patients.parquet (12 filas × estadísticas longitudinales del perfil del paciente).</w:t>
      </w:r>
    </w:p>
    <w:p>
      <w:pPr>
        <w:pStyle w:val="Heading2"/>
        <w:spacing w:after="120" w:before="240"/>
      </w:pPr>
      <w:r>
        <w:rPr>
          <w:rFonts w:ascii="Arial" w:cs="Arial" w:eastAsia="Arial" w:hAnsi="Arial"/>
          <w:b/>
          <w:bCs/>
          <w:color w:val="1E3A5F"/>
          <w:sz w:val="28"/>
          <w:szCs w:val="28"/>
        </w:rPr>
        <w:t xml:space="preserve">3.4  Fenotipado morfológico de eventos (Nivel 1 — Evento)</w:t>
      </w:r>
    </w:p>
    <w:p>
      <w:pPr>
        <w:pStyle w:val="Heading3"/>
        <w:spacing w:after="80" w:before="180"/>
      </w:pPr>
      <w:r>
        <w:rPr>
          <w:rFonts w:ascii="Arial" w:cs="Arial" w:eastAsia="Arial" w:hAnsi="Arial"/>
          <w:b/>
          <w:bCs/>
          <w:color w:val="1E3A5F"/>
          <w:sz w:val="24"/>
          <w:szCs w:val="24"/>
        </w:rPr>
        <w:t xml:space="preserve">3.4.1  Representación morfológica y reducción dimensional</w:t>
      </w:r>
    </w:p>
    <w:p>
      <w:pPr>
        <w:spacing w:after="80" w:before="80" w:line="276"/>
      </w:pPr>
      <w:r>
        <w:rPr>
          <w:rFonts w:ascii="Arial" w:cs="Arial" w:eastAsia="Arial" w:hAnsi="Arial"/>
          <w:sz w:val="22"/>
          <w:szCs w:val="22"/>
        </w:rPr>
        <w:t xml:space="preserve">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Sobre las 84.248 curvas normalizadas (85.277 in_quality menos 1.029 con anomalías geométricas en la normalización) se aplica PCA que reduce la dimensionalidad a los primeros K componentes que explican ≥ 80 % de la varianza; PC1 = 62,9 % / PC2 = 14,0 % / PC3 = 7,0 %. Los dos primeros componentes capturan principalmente profundidad del nadir y velocidad de recuperación.</w:t>
      </w:r>
    </w:p>
    <w:p>
      <w:pPr>
        <w:pStyle w:val="Heading3"/>
        <w:spacing w:after="80" w:before="180"/>
      </w:pPr>
      <w:r>
        <w:rPr>
          <w:rFonts w:ascii="Arial" w:cs="Arial" w:eastAsia="Arial" w:hAnsi="Arial"/>
          <w:b/>
          <w:bCs/>
          <w:color w:val="1E3A5F"/>
          <w:sz w:val="24"/>
          <w:szCs w:val="24"/>
        </w:rPr>
        <w:t xml:space="preserve">3.4.2  Clustering y morfotipos C1–C5</w:t>
      </w:r>
    </w:p>
    <w:p>
      <w:pPr>
        <w:spacing w:after="80" w:before="80" w:line="276"/>
      </w:pPr>
      <w:r>
        <w:rPr>
          <w:rFonts w:ascii="Arial" w:cs="Arial" w:eastAsia="Arial" w:hAnsi="Arial"/>
          <w:sz w:val="22"/>
          <w:szCs w:val="22"/>
        </w:rPr>
        <w:t xml:space="preserve">Sobre el espacio reducido por PCA se aplica K-means (MacQueen, 1967) con K seleccionado por el criterio del codo y la métrica Silhouette (Rousseeuw, 1987). El máximo local en K = 5 (coeficiente = 0,386) determina cinco morfotipos de curva: C1 (subcrítico, 64,5 %), C2 (leve-gradual, 25,1 %), C3 (severo agudo, 4,3 %), C4 (severo escalonado, 5,2 %) y C5 (progresivo crítico, 0,9 %). Los morfotipos C4+C5 se definen como severos (is_severe = True en el pipeline). El modelo se entrena una única vez sobre el corpus completo y se aplica a todas las noches, garantizando consistencia del espacio de morfotipos.</w:t>
      </w:r>
    </w:p>
    <w:p>
      <w:pPr>
        <w:pStyle w:val="Heading3"/>
        <w:spacing w:after="80" w:before="180"/>
      </w:pPr>
      <w:r>
        <w:rPr>
          <w:rFonts w:ascii="Arial" w:cs="Arial" w:eastAsia="Arial" w:hAnsi="Arial"/>
          <w:b/>
          <w:bCs/>
          <w:color w:val="1E3A5F"/>
          <w:sz w:val="24"/>
          <w:szCs w:val="24"/>
        </w:rPr>
        <w:t xml:space="preserve">3.4.3  Referencia cruzada al ARI</w:t>
      </w:r>
    </w:p>
    <w:p>
      <w:pPr>
        <w:spacing w:after="80" w:before="80" w:line="276"/>
      </w:pPr>
      <w:r>
        <w:rPr>
          <w:rFonts w:ascii="Arial" w:cs="Arial" w:eastAsia="Arial" w:hAnsi="Arial"/>
          <w:sz w:val="22"/>
          <w:szCs w:val="22"/>
        </w:rPr>
        <w:t xml:space="preserve">El ARI, cuya fórmula se define en §3.3.5, opera como segunda dimensión de caracterización a nivel de evento: donde los morfotipos capturan la forma de la caída de SpO₂, el ARI captura la intensidad de la respuesta fisiológica del organismo ante esa caída. La ortogonalidad entre ambas dimensiones —ρ(ARI, morfotipo) ≈ 0,034— es un resultado empírico, no una propiedad garantizada por construcción, y constituye uno de los hallazgos centrales del Capítulo 4.</w:t>
      </w:r>
    </w:p>
    <w:p>
      <w:pPr>
        <w:pStyle w:val="Heading2"/>
        <w:spacing w:after="120" w:before="240"/>
      </w:pPr>
      <w:r>
        <w:rPr>
          <w:rFonts w:ascii="Arial" w:cs="Arial" w:eastAsia="Arial" w:hAnsi="Arial"/>
          <w:b/>
          <w:bCs/>
          <w:color w:val="1E3A5F"/>
          <w:sz w:val="28"/>
          <w:szCs w:val="28"/>
        </w:rPr>
        <w:t xml:space="preserve">3.5  Estados dinámicos multiescala — Nivel 2 (Noche)</w:t>
      </w:r>
    </w:p>
    <w:p>
      <w:pPr>
        <w:pStyle w:val="Heading3"/>
        <w:spacing w:after="80" w:before="180"/>
      </w:pPr>
      <w:r>
        <w:rPr>
          <w:rFonts w:ascii="Arial" w:cs="Arial" w:eastAsia="Arial" w:hAnsi="Arial"/>
          <w:b/>
          <w:bCs/>
          <w:color w:val="1E3A5F"/>
          <w:sz w:val="24"/>
          <w:szCs w:val="24"/>
        </w:rPr>
        <w:t xml:space="preserve">3.5.1  Escalas temporales y particionamiento</w:t>
      </w:r>
    </w:p>
    <w:p>
      <w:pPr>
        <w:spacing w:after="80" w:before="80" w:line="276"/>
      </w:pPr>
      <w:r>
        <w:rPr>
          <w:rFonts w:ascii="Arial" w:cs="Arial" w:eastAsia="Arial" w:hAnsi="Arial"/>
          <w:sz w:val="22"/>
          <w:szCs w:val="22"/>
        </w:rPr>
        <w:t xml:space="preserve">La noche se particiona en ventanas temporales disjuntas a tres escalas complementarias: escala S (30 s), que captura la microdinámica peri-evento —el contexto fisiológico inmediato en el que ocurre cada EDO—; escala M (5 min), que captura la mesodinámica autonómica —episodios de carga hipóxica sostenida y recuperación entre grupos de eventos—; escala L (30 min), que captura la macrodinámica nocturna —la progresión global de la carga a lo largo de las fases del sueño—. Las tres escalas son complementarias, no redundantes: el Capítulo 5 demuestra que cada una predice mejor una dimensión fisiológica distinta (S → frecuencia de eventos; M → carga hipóxica; L → arquitectura global).</w:t>
      </w:r>
    </w:p>
    <w:p>
      <w:pPr>
        <w:pStyle w:val="Heading3"/>
        <w:spacing w:after="80" w:before="180"/>
      </w:pPr>
      <w:r>
        <w:rPr>
          <w:rFonts w:ascii="Arial" w:cs="Arial" w:eastAsia="Arial" w:hAnsi="Arial"/>
          <w:b/>
          <w:bCs/>
          <w:color w:val="1E3A5F"/>
          <w:sz w:val="24"/>
          <w:szCs w:val="24"/>
        </w:rPr>
        <w:t xml:space="preserve">3.5.2  Vector de 24 características por ventana</w:t>
      </w:r>
    </w:p>
    <w:p>
      <w:pPr>
        <w:spacing w:after="80" w:before="80" w:line="276"/>
      </w:pPr>
      <w:r>
        <w:rPr>
          <w:rFonts w:ascii="Arial" w:cs="Arial" w:eastAsia="Arial" w:hAnsi="Arial"/>
          <w:sz w:val="22"/>
          <w:szCs w:val="22"/>
        </w:rPr>
        <w:t xml:space="preserve">Cada ventana se caracteriza por un vector de 24 features que combina tres fuentes de información: (1) estadísticas de señal fisiológica —media, desvío estándar y percentil 5 de SpO₂; media y desvío de FC; fracción de movimiento—; (2) densidad de morfotipos —conteo total de EDOs en la ventana, conteo por morfotipo C1–C5, ARI medio de los eventos en la ventana—; (3) composición de estadios de sueño —fracción de tiempo en vigilia, sueño ligero, sueño profundo estimado y estadio indeterminado, derivada de un clasificador operativo interno del pipeline—. Este vector integra la información de señal cruda, la caracterización morfológica del Nivel 1 y el contexto de sueño estimado.</w:t>
      </w:r>
    </w:p>
    <w:p>
      <w:pPr>
        <w:pStyle w:val="Heading3"/>
        <w:spacing w:after="80" w:before="180"/>
      </w:pPr>
      <w:r>
        <w:rPr>
          <w:rFonts w:ascii="Arial" w:cs="Arial" w:eastAsia="Arial" w:hAnsi="Arial"/>
          <w:b/>
          <w:bCs/>
          <w:color w:val="1E3A5F"/>
          <w:sz w:val="24"/>
          <w:szCs w:val="24"/>
        </w:rPr>
        <w:t xml:space="preserve">3.5.3  Clustering por escala: estados PAC</w:t>
      </w:r>
    </w:p>
    <w:p>
      <w:pPr>
        <w:spacing w:after="80" w:before="80" w:line="276"/>
      </w:pPr>
      <w:r>
        <w:rPr>
          <w:rFonts w:ascii="Arial" w:cs="Arial" w:eastAsia="Arial" w:hAnsi="Arial"/>
          <w:sz w:val="22"/>
          <w:szCs w:val="22"/>
        </w:rPr>
        <w:t xml:space="preserve">Sobre el pool de ventanas de la cohorte estricta (8 pacientes, ≥ 10 noches in_quality) se entrena un modelo K-means independiente por escala. El número de clusters por escala se selecciona mediante el mismo procedimiento de codo + Silhouette utilizado en §3.4.2, resultando en K = 7 para escala S (estados S0–S6), K = 5 para escala M (M0–M4) y K = 4 para escala L (L0–L3). El modelo se entrena una única vez sobre el corpus completo y se aplica de forma determinística a todas las noches, incluyendo las cuatro noches de los pacientes excluidos de la cohorte estricta.</w:t>
      </w:r>
    </w:p>
    <w:p>
      <w:pPr>
        <w:pStyle w:val="Heading3"/>
        <w:spacing w:after="80" w:before="180"/>
      </w:pPr>
      <w:r>
        <w:rPr>
          <w:rFonts w:ascii="Arial" w:cs="Arial" w:eastAsia="Arial" w:hAnsi="Arial"/>
          <w:b/>
          <w:bCs/>
          <w:color w:val="1E3A5F"/>
          <w:sz w:val="24"/>
          <w:szCs w:val="24"/>
        </w:rPr>
        <w:t xml:space="preserve">3.5.4  Features nocturnas derivadas</w:t>
      </w:r>
    </w:p>
    <w:p>
      <w:pPr>
        <w:spacing w:after="80" w:before="80" w:line="276"/>
      </w:pPr>
      <w:r>
        <w:rPr>
          <w:rFonts w:ascii="Arial" w:cs="Arial" w:eastAsia="Arial" w:hAnsi="Arial"/>
          <w:sz w:val="22"/>
          <w:szCs w:val="22"/>
        </w:rPr>
        <w:t xml:space="preserve">A partir de la secuencia de estados de cada noche se calculan 21 features nocturnas: 15 fracciones de estado (proporción de ventanas en cada estado por escala; S6 se excluye por baja frecuencia ~1 %, dejando 6 fracciones S + 5 M + 4 L), 3 entropías de Shannon por escala (desorden/regularidad de la distribución de estados) y 3 tasas de transición por escala (número de cambios entre estados distintos, normalizado por duración de la noche). Estas 21 features se incorporan a nights.parquet como insumo de los modelos del Nivel 3.</w:t>
      </w:r>
    </w:p>
    <w:p>
      <w:pPr>
        <w:pStyle w:val="Heading3"/>
        <w:spacing w:after="80" w:before="180"/>
      </w:pPr>
      <w:r>
        <w:rPr>
          <w:rFonts w:ascii="Arial" w:cs="Arial" w:eastAsia="Arial" w:hAnsi="Arial"/>
          <w:b/>
          <w:bCs/>
          <w:color w:val="1E3A5F"/>
          <w:sz w:val="24"/>
          <w:szCs w:val="24"/>
        </w:rPr>
        <w:t xml:space="preserve">3.5.5  Análisis de trayectorias y cadenas de Markov</w:t>
      </w:r>
    </w:p>
    <w:p>
      <w:pPr>
        <w:spacing w:after="80" w:before="80" w:line="276"/>
      </w:pPr>
      <w:r>
        <w:rPr>
          <w:rFonts w:ascii="Arial" w:cs="Arial" w:eastAsia="Arial" w:hAnsi="Arial"/>
          <w:sz w:val="22"/>
          <w:szCs w:val="22"/>
        </w:rPr>
        <w:t xml:space="preserve">La secuencia de estados a cada escala se analiza como cadena de Markov de primer orden (Norris, 1997): la matriz de transición P[i→j] cuantifica la probabilidad empírica de pasar del estado i al estado j en el paso temporal siguiente. Las matrices de transición permiten identificar estados atractores (alta auto-transición), estados transitorios (baja auto-transición) y la dirección preferencial del flujo fisiológico nocturno. Este análisis complementa las fracciones de estado estáticas al capturar la estructura dinámica de la secuencia.</w:t>
      </w:r>
    </w:p>
    <w:p>
      <w:pPr>
        <w:pStyle w:val="Heading2"/>
        <w:spacing w:after="120" w:before="240"/>
      </w:pPr>
      <w:r>
        <w:rPr>
          <w:rFonts w:ascii="Arial" w:cs="Arial" w:eastAsia="Arial" w:hAnsi="Arial"/>
          <w:b/>
          <w:bCs/>
          <w:color w:val="1E3A5F"/>
          <w:sz w:val="28"/>
          <w:szCs w:val="28"/>
        </w:rPr>
        <w:t xml:space="preserve">3.6  Modelos predictivos — Nivel 3 (Paciente)</w:t>
      </w:r>
    </w:p>
    <w:p>
      <w:pPr>
        <w:pStyle w:val="Heading3"/>
        <w:spacing w:after="80" w:before="180"/>
      </w:pPr>
      <w:r>
        <w:rPr>
          <w:rFonts w:ascii="Arial" w:cs="Arial" w:eastAsia="Arial" w:hAnsi="Arial"/>
          <w:b/>
          <w:bCs/>
          <w:color w:val="1E3A5F"/>
          <w:sz w:val="24"/>
          <w:szCs w:val="24"/>
        </w:rPr>
        <w:t xml:space="preserve">3.6.1  Clasificación de severidad nocturna</w:t>
      </w:r>
    </w:p>
    <w:p>
      <w:pPr>
        <w:spacing w:after="80" w:before="80" w:line="276"/>
      </w:pPr>
      <w:r>
        <w:rPr>
          <w:rFonts w:ascii="Arial" w:cs="Arial" w:eastAsia="Arial" w:hAnsi="Arial"/>
          <w:sz w:val="22"/>
          <w:szCs w:val="22"/>
        </w:rPr>
        <w:t xml:space="preserve">La matriz de diseño integra nights.parquet, night_multiscale_features.parquet y patients.parquet en un vector de ~50 features nocturnas por paciente. Se evalúan LightGBM (Ke et al., 2017) y regresión logística como baseline. La variable dependiente es la categoría de severidad AASM definida por ODI3 (Normal &lt; 5 ev/h, Leve 5–15, Moderado 15–30, Grave &gt; 30 ev/h), tanto en formulación de cuatro clases como binaria (≥ Moderado). Un análisis de ablación por bloques de features (PAC States, morfotipos, features clínicas convencionales, ARI) cuantifica la contribución marginal de cada representación a la capacidad predictiva del modelo conjunto. La validación se realiza en LOPO-CV con n efectivo = 8 pacientes (cohorte estricta).</w:t>
      </w:r>
    </w:p>
    <w:p>
      <w:pPr>
        <w:pStyle w:val="Heading3"/>
        <w:spacing w:after="80" w:before="180"/>
      </w:pPr>
      <w:r>
        <w:rPr>
          <w:rFonts w:ascii="Arial" w:cs="Arial" w:eastAsia="Arial" w:hAnsi="Arial"/>
          <w:b/>
          <w:bCs/>
          <w:color w:val="1E3A5F"/>
          <w:sz w:val="24"/>
          <w:szCs w:val="24"/>
        </w:rPr>
        <w:t xml:space="preserve">3.6.2  Predicción del siguiente evento severo (NB07)</w:t>
      </w:r>
    </w:p>
    <w:p>
      <w:pPr>
        <w:spacing w:after="80" w:before="80" w:line="276"/>
      </w:pPr>
      <w:r>
        <w:rPr>
          <w:rFonts w:ascii="Arial" w:cs="Arial" w:eastAsia="Arial" w:hAnsi="Arial"/>
          <w:sz w:val="22"/>
          <w:szCs w:val="22"/>
        </w:rPr>
        <w:t xml:space="preserve">A partir del contexto PAC inmediato —estado activo en las tres escalas, historial reciente de estados y densidad de morfotipos— se entrena un clasificador que predice si el siguiente EDO detectado será severo (C4 o C5). Esta tarea opera sobre el evento en curso o recién terminado, lo que la distingue de la predicción prospectiva de NB08: la señal del evento es observable y la clasificación es condicional a su ocurrencia.</w:t>
      </w:r>
    </w:p>
    <w:p>
      <w:pPr>
        <w:pStyle w:val="Heading3"/>
        <w:spacing w:after="80" w:before="180"/>
      </w:pPr>
      <w:r>
        <w:rPr>
          <w:rFonts w:ascii="Arial" w:cs="Arial" w:eastAsia="Arial" w:hAnsi="Arial"/>
          <w:b/>
          <w:bCs/>
          <w:color w:val="1E3A5F"/>
          <w:sz w:val="24"/>
          <w:szCs w:val="24"/>
        </w:rPr>
        <w:t xml:space="preserve">3.6.3  Score de riesgo nocturno</w:t>
      </w:r>
    </w:p>
    <w:p>
      <w:pPr>
        <w:spacing w:after="80" w:before="80" w:line="276"/>
      </w:pPr>
      <w:r>
        <w:rPr>
          <w:rFonts w:ascii="Arial" w:cs="Arial" w:eastAsia="Arial" w:hAnsi="Arial"/>
          <w:sz w:val="22"/>
          <w:szCs w:val="22"/>
        </w:rPr>
        <w:t xml:space="preserve">Como síntesis clínica de los modelos de clasificación, se construye un score de riesgo continuo en escala 0–100, calibrado como combinación ponderada de la probabilidad de evento severo (peso 0,40) y la probabilidad de noche de alto riesgo (peso 0,60). El score opera sobre el registro nocturno ya procesado y tiene valor para el fenotipado post-diagnóstico y el seguimiento longitudinal, no para la intervención en tiempo real. Este score es el Risk Score PAC al que el Capítulo 6 se refiere como índice de caracterización dinámica retrospectiva.</w:t>
      </w:r>
    </w:p>
    <w:p>
      <w:pPr>
        <w:pStyle w:val="Heading2"/>
        <w:spacing w:after="120" w:before="240"/>
      </w:pPr>
      <w:r>
        <w:rPr>
          <w:rFonts w:ascii="Arial" w:cs="Arial" w:eastAsia="Arial" w:hAnsi="Arial"/>
          <w:b/>
          <w:bCs/>
          <w:color w:val="1E3A5F"/>
          <w:sz w:val="28"/>
          <w:szCs w:val="28"/>
        </w:rPr>
        <w:t xml:space="preserve">3.7  Predicción prospectiva con lead time clínico (NB08)</w:t>
      </w:r>
    </w:p>
    <w:p>
      <w:pPr>
        <w:spacing w:after="80" w:before="80" w:line="276"/>
      </w:pPr>
      <w:r>
        <w:rPr>
          <w:rFonts w:ascii="Arial" w:cs="Arial" w:eastAsia="Arial" w:hAnsi="Arial"/>
          <w:sz w:val="22"/>
          <w:szCs w:val="22"/>
        </w:rPr>
        <w:t xml:space="preserve">El módulo NB08 extiende el análisis al dominio temporal prospectivo: sin señal de evento activo, ¿puede el estado fisiológico PAC actual anticipar la ocurrencia de un evento severo en los próximos Δt minutos? Se generan 452.955 ventanas de 30 s (excluyendo ventanas con evento activo) para cuatro horizontes H ∈ {2, 5, 10, 15} min, cada una caracterizada por el vector PAC de §3.5.2 más features de historial acumulado (ci_sofar, conteo de severos, tiempo desde el último EDO). Los horizontes se evalúan bajo tres criterios: (1) margen suficiente para el ramp-up del estimulador SOMNI 6000 (&gt;90 s); (2) rendimiento discriminativo en LOPO-CV (AUC y AP); (3) valor predictivo positivo (PPV) operacional en el umbral de Youden. El horizonte H = 5 min resulta óptimo según estos criterios.</w:t>
      </w:r>
    </w:p>
    <w:p>
      <w:pPr>
        <w:pStyle w:val="Heading2"/>
        <w:spacing w:after="120" w:before="240"/>
      </w:pPr>
      <w:r>
        <w:rPr>
          <w:rFonts w:ascii="Arial" w:cs="Arial" w:eastAsia="Arial" w:hAnsi="Arial"/>
          <w:b/>
          <w:bCs/>
          <w:color w:val="1E3A5F"/>
          <w:sz w:val="28"/>
          <w:szCs w:val="28"/>
        </w:rPr>
        <w:t xml:space="preserve">3.8  Estrategia de validación estadística</w:t>
      </w:r>
    </w:p>
    <w:p>
      <w:pPr>
        <w:pStyle w:val="Heading3"/>
        <w:spacing w:after="80" w:before="180"/>
      </w:pPr>
      <w:r>
        <w:rPr>
          <w:rFonts w:ascii="Arial" w:cs="Arial" w:eastAsia="Arial" w:hAnsi="Arial"/>
          <w:b/>
          <w:bCs/>
          <w:color w:val="1E3A5F"/>
          <w:sz w:val="24"/>
          <w:szCs w:val="24"/>
        </w:rPr>
        <w:t xml:space="preserve">3.8.1  LOPO-CV y unidad efectiva de análisis</w:t>
      </w:r>
    </w:p>
    <w:p>
      <w:pPr>
        <w:spacing w:after="80" w:before="80" w:line="276"/>
      </w:pPr>
      <w:r>
        <w:rPr>
          <w:rFonts w:ascii="Arial" w:cs="Arial" w:eastAsia="Arial" w:hAnsi="Arial"/>
          <w:sz w:val="22"/>
          <w:szCs w:val="22"/>
        </w:rPr>
        <w:t xml:space="preserve">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—fuente potencial de contaminación de información si se usara k-fold sobre noches—. La unidad efectiva de análisis es el paciente (n efectivo = 8 en cohorte estricta), no la noche (n = 540). Esta distinción es fundamental para la interpretación de los resultados: la potencia estadística corresponde a 8 observaciones independientes, no a 540.</w:t>
      </w:r>
    </w:p>
    <w:p>
      <w:pPr>
        <w:pStyle w:val="Heading3"/>
        <w:spacing w:after="80" w:before="180"/>
      </w:pPr>
      <w:r>
        <w:rPr>
          <w:rFonts w:ascii="Arial" w:cs="Arial" w:eastAsia="Arial" w:hAnsi="Arial"/>
          <w:b/>
          <w:bCs/>
          <w:color w:val="1E3A5F"/>
          <w:sz w:val="24"/>
          <w:szCs w:val="24"/>
        </w:rPr>
        <w:t xml:space="preserve">3.8.2  Reproducibilidad inter-noche</w:t>
      </w:r>
    </w:p>
    <w:p>
      <w:pPr>
        <w:spacing w:after="80" w:before="80" w:line="276"/>
      </w:pPr>
      <w:r>
        <w:rPr>
          <w:rFonts w:ascii="Arial" w:cs="Arial" w:eastAsia="Arial" w:hAnsi="Arial"/>
          <w:sz w:val="22"/>
          <w:szCs w:val="22"/>
        </w:rPr>
        <w:t xml:space="preserve">La estabilidad de las métricas ante la variabilidad intraindividual se evalúa mediante tres procedimientos complementarios: (1) ICC(1,1) (Koo &amp; Li, 2016), que cuantifica qué fracción de la varianza total de una métrica es atribuible a diferencias entre pacientes —valores ICC &gt; 0,75 indican estabilidad buena—; (2) Análisis de Bland-Altman (Bland &amp; Altman, 1986), que compara la estimación de una sola noche contra el promedio multinoche del mismo paciente, evaluando sesgo sistemático y límites de acuerdo; (3) curvas de estabilización bootstrap del MAE, que estiman cuántas noches son necesarias para que el error absoluto de estimación de una métrica caiga por debajo de un umbral operacional.</w:t>
      </w:r>
    </w:p>
    <w:p>
      <w:pPr>
        <w:pStyle w:val="Heading3"/>
        <w:spacing w:after="80" w:before="180"/>
      </w:pPr>
      <w:r>
        <w:rPr>
          <w:rFonts w:ascii="Arial" w:cs="Arial" w:eastAsia="Arial" w:hAnsi="Arial"/>
          <w:b/>
          <w:bCs/>
          <w:color w:val="1E3A5F"/>
          <w:sz w:val="24"/>
          <w:szCs w:val="24"/>
        </w:rPr>
        <w:t xml:space="preserve">3.8.3  Interpretabilidad de modelos (SHAP)</w:t>
      </w:r>
    </w:p>
    <w:p>
      <w:pPr>
        <w:spacing w:after="80" w:before="80" w:line="276"/>
      </w:pPr>
      <w:r>
        <w:rPr>
          <w:rFonts w:ascii="Arial" w:cs="Arial" w:eastAsia="Arial" w:hAnsi="Arial"/>
          <w:sz w:val="22"/>
          <w:szCs w:val="22"/>
        </w:rPr>
        <w:t xml:space="preserve">Los modelos LightGBM se interpretan mediante valores SHAP (SHapley Additive exPlanations; Lundberg &amp; Lee, 2017), que asignan a cada feature una contribución marginal al output del modelo para cada instancia de predicción. Los valores SHAP permiten identificar qué features dominan la predicción a nivel global (importancia media |SHAP|) y cómo afectan la predicción en distintos rangos de valor (dirección del efecto). El análisis SHAP se aplica a los modelos de clasificación de severidad nocturna y al modelo LightGBM de NB08.</w:t>
      </w:r>
    </w:p>
    <w:p>
      <w:pPr>
        <w:pStyle w:val="Heading3"/>
        <w:spacing w:after="80" w:before="180"/>
      </w:pPr>
      <w:r>
        <w:rPr>
          <w:rFonts w:ascii="Arial" w:cs="Arial" w:eastAsia="Arial" w:hAnsi="Arial"/>
          <w:b/>
          <w:bCs/>
          <w:color w:val="1E3A5F"/>
          <w:sz w:val="24"/>
          <w:szCs w:val="24"/>
        </w:rPr>
        <w:t xml:space="preserve">3.8.4  Independencia estadística y p-valores</w:t>
      </w:r>
    </w:p>
    <w:p>
      <w:pPr>
        <w:spacing w:after="80" w:before="80" w:line="276"/>
      </w:pPr>
      <w:r>
        <w:rPr>
          <w:rFonts w:ascii="Arial" w:cs="Arial" w:eastAsia="Arial" w:hAnsi="Arial"/>
          <w:sz w:val="22"/>
          <w:szCs w:val="22"/>
        </w:rPr>
        <w:t xml:space="preserve">La variabilidad intraindividual tiene dos implicancias metodológicas complementarias: es fuente de información estructural sobre el paciente (la dispersión noche-a-noche refleja exposición situacional real) y es una violación de la independencia que invalida el uso de pruebas estadísticas estándar entre noches del mismo paciente. Toda inferencia estadística en esta tesis se realiza con n efectivo = 8–12 pacientes.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4 — Resultados: Fenotipado Morfológico y Reactividad Autonómica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3 — Materiales y Métodos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2026-05-30T16:57:34.742Z</dcterms:created>
  <dcterms:modified xsi:type="dcterms:W3CDTF">2026-05-30T16:57:34.743Z</dcterms:modified>
</cp:coreProperties>
</file>

<file path=docProps/custom.xml><?xml version="1.0" encoding="utf-8"?>
<Properties xmlns="http://schemas.openxmlformats.org/officeDocument/2006/custom-properties" xmlns:vt="http://schemas.openxmlformats.org/officeDocument/2006/docPropsVTypes"/>
</file>