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sidRPr="0046701C">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sidRPr="0046701C">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r w:rsidRPr="0046701C">
        <w:rPr>
          <w:rFonts w:asciiTheme="minorHAnsi" w:hAnsiTheme="minorHAnsi"/>
          <w:i/>
          <w:iCs/>
          <w:color w:val="666666"/>
          <w:sz w:val="18"/>
          <w:szCs w:val="18"/>
        </w:rPr>
        <w:t>Versión 6  ·  Junio 2026</w:t>
      </w:r>
    </w:p>
    <w:p w14:paraId="71A67FBB" w14:textId="23C9EC1B"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El presente capítulo describe la infraestructura de datos, los métodos analíticos y la estrategia de validación que </w:t>
      </w:r>
      <w:r w:rsidR="00762E70">
        <w:rPr>
          <w:rFonts w:asciiTheme="minorHAnsi" w:hAnsiTheme="minorHAnsi"/>
        </w:rPr>
        <w:t>implementan lo postulado en</w:t>
      </w:r>
      <w:r w:rsidRPr="0046701C">
        <w:rPr>
          <w:rFonts w:asciiTheme="minorHAnsi" w:hAnsiTheme="minorHAnsi"/>
        </w:rPr>
        <w:t xml:space="preserve"> el marco teórico del Capítulo 2. </w:t>
      </w:r>
      <w:r w:rsidR="00BB0DA8" w:rsidRPr="00BB0DA8">
        <w:rPr>
          <w:rFonts w:asciiTheme="minorHAnsi" w:hAnsiTheme="minorHAnsi"/>
        </w:rPr>
        <w:t>La exposición sigue la arquitectura en capas del pipeline PAC_v3</w:t>
      </w:r>
      <w:r w:rsidRPr="00BB0DA8">
        <w:rPr>
          <w:rFonts w:asciiTheme="minorHAnsi" w:hAnsiTheme="minorHAnsi"/>
        </w:rPr>
        <w:t>:</w:t>
      </w:r>
      <w:r w:rsidRPr="0046701C">
        <w:rPr>
          <w:rFonts w:asciiTheme="minorHAnsi" w:hAnsiTheme="minorHAnsi"/>
        </w:rPr>
        <w:t xml:space="preserve">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rsidRPr="0046701C">
        <w:t>3.1  Diseño del estudio y consideraciones éticas</w:t>
      </w:r>
    </w:p>
    <w:p w14:paraId="2D5A8F38" w14:textId="2CF83881" w:rsidR="00CB3170" w:rsidRPr="00B54A26" w:rsidRDefault="00CB3170" w:rsidP="00B54A26">
      <w:pPr>
        <w:pStyle w:val="NormalWeb"/>
        <w:spacing w:line="360" w:lineRule="auto"/>
        <w:jc w:val="both"/>
      </w:pPr>
      <w:r w:rsidRPr="00CB3170">
        <w:rPr>
          <w:rStyle w:val="Fuerte"/>
          <w:rFonts w:asciiTheme="minorHAnsi" w:hAnsiTheme="minorHAnsi"/>
          <w:b w:val="0"/>
          <w:bCs w:val="0"/>
        </w:rPr>
        <w:t xml:space="preserve">Se realizó un análisis observacional retrospectivo de señales fisiológicas nocturnas adquiridas en entorno domiciliario. </w:t>
      </w:r>
      <w:r w:rsidR="00B54A26" w:rsidRPr="00B54A26">
        <w:rPr>
          <w:rStyle w:val="Fuerte"/>
          <w:rFonts w:asciiTheme="minorHAnsi" w:hAnsiTheme="minorHAnsi"/>
          <w:b w:val="0"/>
          <w:bCs w:val="0"/>
        </w:rPr>
        <w:t>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rsidRPr="0046701C">
        <w:t>3.2  Participantes y adquisición de datos</w:t>
      </w:r>
    </w:p>
    <w:p w14:paraId="2399E36E" w14:textId="77777777" w:rsidR="009E71D4" w:rsidRPr="0046701C" w:rsidRDefault="00000000">
      <w:pPr>
        <w:spacing w:before="200" w:after="80"/>
        <w:rPr>
          <w:rFonts w:asciiTheme="minorHAnsi" w:hAnsiTheme="minorHAnsi"/>
        </w:rPr>
      </w:pPr>
      <w:r w:rsidRPr="0046701C">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r>
      <w:r w:rsidRPr="00BC45B4">
        <w:rPr>
          <w:rStyle w:val="Fuerte"/>
          <w:rFonts w:asciiTheme="minorHAnsi" w:hAnsiTheme="minorHAnsi"/>
          <w:b w:val="0"/>
          <w:bCs w:val="0"/>
        </w:rPr>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La Tabla 3.1 resume las características demográficas y clínicas. Los criterios de exclusión se aplican a nivel de noche</w:t>
      </w:r>
      <w:r w:rsidR="00BB0DA8">
        <w:rPr>
          <w:rStyle w:val="Fuerte"/>
          <w:rFonts w:asciiTheme="minorHAnsi" w:hAnsiTheme="minorHAnsi"/>
          <w:b w:val="0"/>
          <w:bCs w:val="0"/>
        </w:rPr>
        <w:t>:</w:t>
      </w:r>
      <w:r>
        <w:rPr>
          <w:rStyle w:val="Fuerte"/>
          <w:rFonts w:asciiTheme="minorHAnsi" w:hAnsiTheme="minorHAnsi"/>
          <w:b w:val="0"/>
          <w:bCs w:val="0"/>
        </w:rPr>
        <w:t xml:space="preserve"> </w:t>
      </w:r>
      <w:r w:rsidRPr="00BC45B4">
        <w:rPr>
          <w:rStyle w:val="Fuerte"/>
          <w:rFonts w:asciiTheme="minorHAnsi" w:hAnsiTheme="minorHAnsi"/>
          <w:b w:val="0"/>
          <w:bCs w:val="0"/>
        </w:rPr>
        <w:t xml:space="preserve">cobertura de señal inferior al 90 %, duración inferior a 3 horas o artefactos irrecuperables, no de paciente. Un subgrupo de 8 pacientes con ≥ 10 noches </w:t>
      </w:r>
      <w:r w:rsidRPr="00BC45B4">
        <w:rPr>
          <w:rStyle w:val="Fuerte"/>
          <w:rFonts w:asciiTheme="minorHAnsi" w:hAnsiTheme="minorHAnsi"/>
          <w:b w:val="0"/>
          <w:bCs w:val="0"/>
          <w:i/>
          <w:iCs/>
        </w:rPr>
        <w:t>in_quality</w:t>
      </w:r>
      <w:r>
        <w:rPr>
          <w:rStyle w:val="Fuerte"/>
          <w:rFonts w:asciiTheme="minorHAnsi" w:hAnsiTheme="minorHAnsi"/>
          <w:b w:val="0"/>
          <w:bCs w:val="0"/>
        </w:rPr>
        <w:t xml:space="preserve">, </w:t>
      </w:r>
      <w:r w:rsidRPr="00BC45B4">
        <w:rPr>
          <w:rStyle w:val="Fuerte"/>
          <w:rFonts w:asciiTheme="minorHAnsi" w:hAnsiTheme="minorHAnsi"/>
          <w:b w:val="0"/>
          <w:bCs w:val="0"/>
        </w:rPr>
        <w:t>noches que superan ambos umbrales de calidad</w:t>
      </w:r>
      <w:r>
        <w:rPr>
          <w:rStyle w:val="Fuerte"/>
          <w:rFonts w:asciiTheme="minorHAnsi" w:hAnsiTheme="minorHAnsi"/>
          <w:b w:val="0"/>
          <w:bCs w:val="0"/>
        </w:rPr>
        <w:t>,</w:t>
      </w:r>
      <w:r w:rsidRPr="00BC45B4">
        <w:rPr>
          <w:rStyle w:val="Fuerte"/>
          <w:rFonts w:asciiTheme="minorHAnsi" w:hAnsiTheme="minorHAnsi"/>
          <w:b w:val="0"/>
          <w:bCs w:val="0"/>
        </w:rPr>
        <w:t xml:space="preserve"> conforma la cohorte estricta, reservada para el entrenamiento del clustering de </w:t>
      </w:r>
      <w:r>
        <w:rPr>
          <w:rStyle w:val="Fuerte"/>
          <w:rFonts w:asciiTheme="minorHAnsi" w:hAnsiTheme="minorHAnsi"/>
          <w:b w:val="0"/>
          <w:bCs w:val="0"/>
        </w:rPr>
        <w:t xml:space="preserve">Estados </w:t>
      </w:r>
      <w:r w:rsidRPr="00BC45B4">
        <w:rPr>
          <w:rStyle w:val="Fuerte"/>
          <w:rFonts w:asciiTheme="minorHAnsi" w:hAnsiTheme="minorHAnsi"/>
          <w:b w:val="0"/>
          <w:bCs w:val="0"/>
        </w:rPr>
        <w:t>PAC y la validación de modelos supervisados. La variabilidad intraindividual</w:t>
      </w:r>
      <w:r>
        <w:rPr>
          <w:rStyle w:val="Fuerte"/>
          <w:rFonts w:asciiTheme="minorHAnsi" w:hAnsiTheme="minorHAnsi"/>
          <w:b w:val="0"/>
          <w:bCs w:val="0"/>
        </w:rPr>
        <w:t xml:space="preserve">, </w:t>
      </w:r>
      <w:r w:rsidRPr="00BC45B4">
        <w:rPr>
          <w:rStyle w:val="Fuerte"/>
          <w:rFonts w:asciiTheme="minorHAnsi" w:hAnsiTheme="minorHAnsi"/>
          <w:b w:val="0"/>
          <w:bCs w:val="0"/>
        </w:rPr>
        <w:t>noches con perfiles fisiológicos marcadamente distintos para un mismo paciente</w:t>
      </w:r>
      <w:r>
        <w:rPr>
          <w:rStyle w:val="Fuerte"/>
          <w:rFonts w:asciiTheme="minorHAnsi" w:hAnsiTheme="minorHAnsi"/>
          <w:b w:val="0"/>
          <w:bCs w:val="0"/>
        </w:rPr>
        <w:t>,</w:t>
      </w:r>
      <w:r w:rsidRPr="00BC45B4">
        <w:rPr>
          <w:rStyle w:val="Fuerte"/>
          <w:rFonts w:asciiTheme="minorHAnsi" w:hAnsiTheme="minorHAnsi"/>
          <w:b w:val="0"/>
          <w:bCs w:val="0"/>
        </w:rPr>
        <w:t xml:space="preserve"> se trata como información estructural, no como ruido.</w:t>
      </w:r>
    </w:p>
    <w:p w14:paraId="39FBC741" w14:textId="77777777" w:rsidR="009E71D4" w:rsidRPr="0046701C" w:rsidRDefault="00000000">
      <w:pPr>
        <w:spacing w:before="200" w:after="60"/>
        <w:rPr>
          <w:rFonts w:asciiTheme="minorHAnsi" w:hAnsiTheme="minorHAnsi"/>
        </w:rPr>
      </w:pPr>
      <w:r w:rsidRPr="0046701C">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sidRPr="0046701C">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sidRPr="0046701C">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sidRPr="0046701C">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sidRPr="0046701C">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sidRPr="0046701C">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sidRPr="0046701C">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sidRPr="0046701C">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sidRPr="0046701C">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sidRPr="0046701C">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sidRPr="0046701C">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sidRPr="0046701C">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sidRPr="0046701C">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sidRPr="0046701C">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sidRPr="0046701C">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sidRPr="0046701C">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sidRPr="0046701C">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sidRPr="0046701C">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sidRPr="0046701C">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sidRPr="0046701C">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sidRPr="0046701C">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sidRPr="0046701C">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sidRPr="0046701C">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sidRPr="0046701C">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sidRPr="0046701C">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sidRPr="0046701C">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sidRPr="0046701C">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sidRPr="0046701C">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sidRPr="00306850">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r>
      <w:r w:rsidRPr="00306850">
        <w:rPr>
          <w:rStyle w:val="Fuerte"/>
          <w:rFonts w:asciiTheme="minorHAnsi" w:hAnsiTheme="minorHAnsi"/>
          <w:b w:val="0"/>
          <w:bCs w:val="0"/>
        </w:rPr>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rsidRPr="0046701C">
        <w:t>3.3  Pipeline PAC_v3: arquitectura de procesamiento</w:t>
      </w:r>
    </w:p>
    <w:p w14:paraId="39B3C760" w14:textId="77777777" w:rsidR="009E71D4" w:rsidRPr="0046701C" w:rsidRDefault="00000000">
      <w:pPr>
        <w:spacing w:before="200" w:after="80"/>
        <w:rPr>
          <w:rFonts w:asciiTheme="minorHAnsi" w:hAnsiTheme="minorHAnsi"/>
        </w:rPr>
      </w:pPr>
      <w:r w:rsidRPr="0046701C">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PAC_v3 es el pipeline de procesamiento desarrollado </w:t>
      </w:r>
      <w:r w:rsidRPr="00813616">
        <w:rPr>
          <w:rFonts w:asciiTheme="minorHAnsi" w:hAnsiTheme="minorHAnsi"/>
          <w:i/>
          <w:iCs/>
        </w:rPr>
        <w:t>ad hoc</w:t>
      </w:r>
      <w:r w:rsidRPr="0046701C">
        <w:rPr>
          <w:rFonts w:asciiTheme="minorHAnsi" w:hAnsiTheme="minorHAnsi"/>
        </w:rPr>
        <w:t xml:space="preserve"> para esta tesis. Su objetivo es transformar los archivos Excel exportados por el </w:t>
      </w:r>
      <w:r w:rsidR="00813616" w:rsidRPr="00813616">
        <w:rPr>
          <w:rFonts w:asciiTheme="minorHAnsi" w:hAnsiTheme="minorHAnsi"/>
        </w:rPr>
        <w:t xml:space="preserve">pulsioxímetro portátil </w:t>
      </w:r>
      <w:r w:rsidRPr="0046701C">
        <w:rPr>
          <w:rFonts w:asciiTheme="minorHAnsi" w:hAnsiTheme="minorHAnsi"/>
        </w:rPr>
        <w:t>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sidRPr="00826904">
        <w:rPr>
          <w:rFonts w:asciiTheme="minorHAnsi" w:hAnsiTheme="minorHAnsi"/>
        </w:rPr>
        <w:t>La capa Bronze procesa los archivos Excel exportados por el dispositivo, estandariza las señales por noche y asigna a cada registro un identificador único (</w:t>
      </w:r>
      <w:r w:rsidRPr="00826904">
        <w:rPr>
          <w:rFonts w:asciiTheme="minorHAnsi" w:hAnsiTheme="minorHAnsi"/>
          <w:i/>
          <w:iCs/>
        </w:rPr>
        <w:t>NightRecordID</w:t>
      </w:r>
      <w:r w:rsidRPr="00826904">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sidRPr="0046701C">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sidRPr="0046701C">
        <w:rPr>
          <w:rFonts w:asciiTheme="minorHAnsi" w:hAnsiTheme="minorHAnsi"/>
        </w:rPr>
        <w:t>Events produce el corpus de Eventos de Desaturación de Oxígeno (</w:t>
      </w:r>
      <w:r w:rsidRPr="00826904">
        <w:rPr>
          <w:rFonts w:asciiTheme="minorHAnsi" w:hAnsiTheme="minorHAnsi"/>
          <w:b/>
          <w:bCs/>
        </w:rPr>
        <w:t>EDOs</w:t>
      </w:r>
      <w:r w:rsidRPr="0046701C">
        <w:rPr>
          <w:rFonts w:asciiTheme="minorHAnsi" w:hAnsiTheme="minorHAnsi"/>
        </w:rPr>
        <w:t>), unidad de análisis central de la tesis. La detección opera sobre la señal SpO₂ post-Silver mediante tres pasos: (1) baseline móvil</w:t>
      </w:r>
      <w:r w:rsidR="00826904">
        <w:rPr>
          <w:rFonts w:asciiTheme="minorHAnsi" w:hAnsiTheme="minorHAnsi"/>
        </w:rPr>
        <w:t xml:space="preserve">: </w:t>
      </w:r>
      <w:r w:rsidRPr="0046701C">
        <w:rPr>
          <w:rFonts w:asciiTheme="minorHAnsi" w:hAnsiTheme="minorHAnsi"/>
        </w:rPr>
        <w:t>mediana deslizante de los 120 s previos a cada punto; (2) detección de candidatos</w:t>
      </w:r>
      <w:r w:rsidR="00826904">
        <w:rPr>
          <w:rFonts w:asciiTheme="minorHAnsi" w:hAnsiTheme="minorHAnsi"/>
        </w:rPr>
        <w:t xml:space="preserve">: </w:t>
      </w:r>
      <w:r w:rsidRPr="0046701C">
        <w:rPr>
          <w:rFonts w:asciiTheme="minorHAnsi" w:hAnsiTheme="minorHAnsi"/>
        </w:rPr>
        <w:t xml:space="preserve">un segmento es candidato si SpO₂ </w:t>
      </w:r>
      <w:r w:rsidRPr="0046701C">
        <w:rPr>
          <w:rFonts w:asciiTheme="minorHAnsi" w:hAnsiTheme="minorHAnsi"/>
        </w:rPr>
        <w:lastRenderedPageBreak/>
        <w:t>desciende ≥ 2 pp por debajo del baseline durante al menos 10 s y se recupera al 90 % del baseline local; (3) caracterización geométrica</w:t>
      </w:r>
      <w:r w:rsidR="00826904">
        <w:rPr>
          <w:rFonts w:asciiTheme="minorHAnsi" w:hAnsiTheme="minorHAnsi"/>
        </w:rPr>
        <w:t xml:space="preserve">: </w:t>
      </w:r>
      <w:r w:rsidRPr="0046701C">
        <w:rPr>
          <w:rFonts w:asciiTheme="minorHAnsi" w:hAnsiTheme="minorHAnsi"/>
        </w:rPr>
        <w:t xml:space="preserve">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w:t>
      </w:r>
      <w:r w:rsidR="00FA18E7">
        <w:rPr>
          <w:rFonts w:asciiTheme="minorHAnsi" w:hAnsiTheme="minorHAnsi"/>
        </w:rPr>
        <w:t>seis</w:t>
      </w:r>
      <w:r w:rsidRPr="0046701C">
        <w:rPr>
          <w:rFonts w:asciiTheme="minorHAnsi" w:hAnsiTheme="minorHAnsi"/>
        </w:rPr>
        <w:t xml:space="preserve"> índices derivados (ODI2, ODI3, </w:t>
      </w:r>
      <w:r w:rsidR="00176C20">
        <w:rPr>
          <w:rFonts w:asciiTheme="minorHAnsi" w:hAnsiTheme="minorHAnsi"/>
        </w:rPr>
        <w:t xml:space="preserve">ODI4, </w:t>
      </w:r>
      <w:r w:rsidRPr="0046701C">
        <w:rPr>
          <w:rFonts w:asciiTheme="minorHAnsi" w:hAnsiTheme="minorHAnsi"/>
        </w:rPr>
        <w:t xml:space="preserve">T90, SpO₂ media, duración media) contra los valores pre-computados del dispositivo, exigiendo </w:t>
      </w:r>
      <w:r w:rsidRPr="00D9602C">
        <w:rPr>
          <w:rFonts w:asciiTheme="minorHAnsi" w:hAnsiTheme="minorHAnsi"/>
          <w:i/>
          <w:iCs/>
        </w:rPr>
        <w:t>ρ</w:t>
      </w:r>
      <w:r w:rsidRPr="0046701C">
        <w:rPr>
          <w:rFonts w:asciiTheme="minorHAnsi" w:hAnsiTheme="minorHAnsi"/>
        </w:rPr>
        <w:t xml:space="preserve"> Spearman ≥ 0,95 para que la noche sea marcada como </w:t>
      </w:r>
      <w:r w:rsidRPr="00D9602C">
        <w:rPr>
          <w:rFonts w:asciiTheme="minorHAnsi" w:hAnsiTheme="minorHAnsi"/>
          <w:i/>
          <w:iCs/>
        </w:rPr>
        <w:t>in_quality</w:t>
      </w:r>
      <w:r w:rsidRPr="0046701C">
        <w:rPr>
          <w:rFonts w:asciiTheme="minorHAnsi" w:hAnsiTheme="minorHAnsi"/>
        </w:rPr>
        <w:t>.</w:t>
      </w:r>
    </w:p>
    <w:p w14:paraId="1D6523FA" w14:textId="77777777" w:rsidR="009E71D4" w:rsidRPr="0046701C" w:rsidRDefault="00000000">
      <w:pPr>
        <w:spacing w:before="200" w:after="80"/>
        <w:rPr>
          <w:rFonts w:asciiTheme="minorHAnsi" w:hAnsiTheme="minorHAnsi"/>
        </w:rPr>
      </w:pPr>
      <w:r w:rsidRPr="0046701C">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sidRPr="0046701C">
        <w:rPr>
          <w:rFonts w:asciiTheme="minorHAnsi" w:hAnsiTheme="minorHAnsi"/>
        </w:rPr>
        <w:t>Events calcula el ARI para cada EDO como medida de la ganancia autonómica del evento: cuánta respuesta fisiológica cardíaca y motora genera el organismo por unidad de estímulo hipóxico. La fórmula canónica, presentada en T1 (Inza et al., 2026):</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sidRPr="000106B5">
        <w:rPr>
          <w:rFonts w:ascii="Courier New" w:eastAsia="Courier New" w:hAnsi="Courier New" w:cs="Courier New"/>
          <w:sz w:val="21"/>
          <w:szCs w:val="21"/>
        </w:rPr>
        <w:t>ARIᵢ = 0,6 · P(hr_gainᵢ) + 0,4 · P(mov_gainᵢ)</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(1)</w:t>
      </w:r>
    </w:p>
    <w:p w14:paraId="06057895" w14:textId="291EFF13"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hr_gainᵢ   = Δhr_bpmᵢ / drop_pctᵢ</w:t>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(2)</w:t>
      </w:r>
    </w:p>
    <w:p w14:paraId="1AEFB2B7" w14:textId="3F7F7C7D"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mov_gainᵢ  = (peak_movᵢ − baseline_movᵢ) / drop_pctᵢ</w:t>
      </w:r>
      <w:r w:rsidR="000106B5" w:rsidRPr="000106B5">
        <w:rPr>
          <w:rFonts w:ascii="Courier New" w:eastAsia="Courier New" w:hAnsi="Courier New" w:cs="Courier New"/>
          <w:sz w:val="21"/>
          <w:szCs w:val="21"/>
        </w:rPr>
        <w:t>(3)</w:t>
      </w:r>
    </w:p>
    <w:p w14:paraId="78A7CE00" w14:textId="08EA8C8F" w:rsidR="009E71D4" w:rsidRPr="000106B5" w:rsidRDefault="00000000" w:rsidP="000106B5">
      <w:pPr>
        <w:spacing w:after="160"/>
        <w:ind w:left="720"/>
        <w:jc w:val="center"/>
        <w:rPr>
          <w:rFonts w:ascii="Courier New" w:hAnsi="Courier New" w:cs="Courier New"/>
          <w:sz w:val="21"/>
          <w:szCs w:val="21"/>
        </w:rPr>
      </w:pPr>
      <w:r w:rsidRPr="000106B5">
        <w:rPr>
          <w:rFonts w:ascii="Courier New" w:eastAsia="Courier New" w:hAnsi="Courier New" w:cs="Courier New"/>
          <w:sz w:val="21"/>
          <w:szCs w:val="21"/>
        </w:rPr>
        <w:t>P(·) = rankdata / N   (N = 85.277 EDOs quality)</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(4)</w:t>
      </w:r>
    </w:p>
    <w:p w14:paraId="2F0E43CE" w14:textId="32E8F4AC" w:rsidR="005C32D2" w:rsidRPr="005C32D2" w:rsidRDefault="005C32D2" w:rsidP="005C32D2">
      <w:pPr>
        <w:spacing w:before="200" w:after="80" w:line="360" w:lineRule="auto"/>
        <w:jc w:val="both"/>
        <w:rPr>
          <w:rFonts w:asciiTheme="minorHAnsi" w:hAnsiTheme="minorHAnsi"/>
        </w:rPr>
      </w:pPr>
      <w:r w:rsidRPr="005C32D2">
        <w:rPr>
          <w:rFonts w:asciiTheme="minorHAnsi" w:hAnsiTheme="minorHAnsi"/>
        </w:rPr>
        <w:t xml:space="preserve">Los </w:t>
      </w:r>
      <w:r w:rsidRPr="005C32D2">
        <w:rPr>
          <w:rFonts w:asciiTheme="minorHAnsi" w:hAnsiTheme="minorHAnsi"/>
          <w:i/>
          <w:iCs/>
        </w:rPr>
        <w:t>pesos 0,6/0,4</w:t>
      </w:r>
      <w:r w:rsidRPr="005C32D2">
        <w:rPr>
          <w:rFonts w:asciiTheme="minorHAnsi" w:hAnsiTheme="minorHAnsi"/>
        </w:rPr>
        <w:t xml:space="preserve"> reflejan la mayor confiabilidad de la señal cardíaca frente al sensor de movimiento. Los componentes </w:t>
      </w:r>
      <w:r w:rsidRPr="005C32D2">
        <w:rPr>
          <w:rFonts w:asciiTheme="minorHAnsi" w:hAnsiTheme="minorHAnsi"/>
          <w:i/>
          <w:iCs/>
        </w:rPr>
        <w:t>hr_gain</w:t>
      </w:r>
      <w:r w:rsidRPr="005C32D2">
        <w:rPr>
          <w:rFonts w:asciiTheme="minorHAnsi" w:hAnsiTheme="minorHAnsi"/>
        </w:rPr>
        <w:t xml:space="preserve"> y </w:t>
      </w:r>
      <w:r w:rsidRPr="005C32D2">
        <w:rPr>
          <w:rFonts w:asciiTheme="minorHAnsi" w:hAnsiTheme="minorHAnsi"/>
          <w:i/>
          <w:iCs/>
        </w:rPr>
        <w:t>mov_gain</w:t>
      </w:r>
      <w:r w:rsidRPr="005C32D2">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rPr>
        <w:t>(</w:t>
      </w:r>
      <w:r w:rsidRPr="005C32D2">
        <w:rPr>
          <w:rFonts w:asciiTheme="minorHAnsi" w:hAnsiTheme="minorHAnsi"/>
          <w:i/>
          <w:iCs/>
        </w:rPr>
        <w:t>P(·)</w:t>
      </w:r>
      <w:r>
        <w:rPr>
          <w:rFonts w:asciiTheme="minorHAnsi" w:hAnsiTheme="minorHAnsi"/>
        </w:rPr>
        <w:t>)</w:t>
      </w:r>
      <w:r w:rsidR="00B71F53">
        <w:rPr>
          <w:rFonts w:asciiTheme="minorHAnsi" w:hAnsiTheme="minorHAnsi"/>
        </w:rPr>
        <w:t xml:space="preserve"> </w:t>
      </w:r>
      <w:r w:rsidRPr="005C32D2">
        <w:rPr>
          <w:rFonts w:asciiTheme="minorHAnsi" w:hAnsiTheme="minorHAnsi"/>
        </w:rPr>
        <w:t xml:space="preserve">sobre el corpus completo hace el índice adimensional y comparable entre pacientes. La propiedad central del ARI es su </w:t>
      </w:r>
      <w:r>
        <w:rPr>
          <w:rFonts w:asciiTheme="minorHAnsi" w:hAnsiTheme="minorHAnsi"/>
        </w:rPr>
        <w:t>independencia empírica</w:t>
      </w:r>
      <w:r w:rsidRPr="005C32D2">
        <w:rPr>
          <w:rFonts w:asciiTheme="minorHAnsi" w:hAnsiTheme="minorHAnsi"/>
        </w:rPr>
        <w:t xml:space="preserve"> de la severidad hipóxica: </w:t>
      </w:r>
      <w:r w:rsidRPr="005C32D2">
        <w:rPr>
          <w:rFonts w:asciiTheme="minorHAnsi" w:hAnsiTheme="minorHAnsi"/>
          <w:i/>
          <w:iCs/>
        </w:rPr>
        <w:t>ρ(ARI, drop_pct) = 0,035</w:t>
      </w:r>
      <w:r w:rsidRPr="005C32D2">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sidRPr="0046701C">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 xml:space="preserve">Gold consolida el corpus en cinco tablas analíticas: </w:t>
      </w:r>
      <w:r w:rsidRPr="00C900C4">
        <w:rPr>
          <w:rFonts w:asciiTheme="minorHAnsi" w:hAnsiTheme="minorHAnsi"/>
          <w:i/>
          <w:iCs/>
        </w:rPr>
        <w:t>events.parquet</w:t>
      </w:r>
      <w:r w:rsidRPr="0046701C">
        <w:rPr>
          <w:rFonts w:asciiTheme="minorHAnsi" w:hAnsiTheme="minorHAnsi"/>
        </w:rPr>
        <w:t xml:space="preserve"> (85.277 filas × 25+ features morfológicas + morfotipo + ARI + flags); </w:t>
      </w:r>
      <w:r w:rsidRPr="00C900C4">
        <w:rPr>
          <w:rFonts w:asciiTheme="minorHAnsi" w:hAnsiTheme="minorHAnsi"/>
          <w:i/>
          <w:iCs/>
        </w:rPr>
        <w:t>events_curves.parquet</w:t>
      </w:r>
      <w:r w:rsidRPr="0046701C">
        <w:rPr>
          <w:rFonts w:asciiTheme="minorHAnsi" w:hAnsiTheme="minorHAnsi"/>
        </w:rPr>
        <w:t xml:space="preserve"> (30 puntos de serie normalizada SpO₂ por evento); </w:t>
      </w:r>
      <w:r w:rsidRPr="00C900C4">
        <w:rPr>
          <w:rFonts w:asciiTheme="minorHAnsi" w:hAnsiTheme="minorHAnsi"/>
          <w:i/>
          <w:iCs/>
        </w:rPr>
        <w:t>states.parquet</w:t>
      </w:r>
      <w:r w:rsidRPr="0046701C">
        <w:rPr>
          <w:rFonts w:asciiTheme="minorHAnsi" w:hAnsiTheme="minorHAnsi"/>
        </w:rPr>
        <w:t xml:space="preserve"> (~519.000 ventanas × etiquetas de estado PAC en tres escalas + 24 features); </w:t>
      </w:r>
      <w:r w:rsidRPr="00C900C4">
        <w:rPr>
          <w:rFonts w:asciiTheme="minorHAnsi" w:hAnsiTheme="minorHAnsi"/>
          <w:i/>
          <w:iCs/>
        </w:rPr>
        <w:t>nights.parquet</w:t>
      </w:r>
      <w:r w:rsidRPr="0046701C">
        <w:rPr>
          <w:rFonts w:asciiTheme="minorHAnsi" w:hAnsiTheme="minorHAnsi"/>
        </w:rPr>
        <w:t xml:space="preserve"> (560 filas × 146 features derivadas); </w:t>
      </w:r>
      <w:r w:rsidRPr="00C900C4">
        <w:rPr>
          <w:rFonts w:asciiTheme="minorHAnsi" w:hAnsiTheme="minorHAnsi"/>
          <w:i/>
          <w:iCs/>
        </w:rPr>
        <w:t>patients.parquet</w:t>
      </w:r>
      <w:r w:rsidRPr="0046701C">
        <w:rPr>
          <w:rFonts w:asciiTheme="minorHAnsi" w:hAnsiTheme="minorHAnsi"/>
        </w:rPr>
        <w:t xml:space="preserve"> (12 filas × estadísticas longitudinales del perfil del paciente). Adicionalmente se generan </w:t>
      </w:r>
      <w:r w:rsidRPr="00C900C4">
        <w:rPr>
          <w:rFonts w:asciiTheme="minorHAnsi" w:hAnsiTheme="minorHAnsi"/>
          <w:i/>
          <w:iCs/>
        </w:rPr>
        <w:t>night_features.parquet</w:t>
      </w:r>
      <w:r w:rsidRPr="0046701C">
        <w:rPr>
          <w:rFonts w:asciiTheme="minorHAnsi" w:hAnsiTheme="minorHAnsi"/>
        </w:rPr>
        <w:t xml:space="preserve"> y </w:t>
      </w:r>
      <w:r w:rsidRPr="00C900C4">
        <w:rPr>
          <w:rFonts w:asciiTheme="minorHAnsi" w:hAnsiTheme="minorHAnsi"/>
          <w:i/>
          <w:iCs/>
        </w:rPr>
        <w:t>night_multiscale_features.parquet</w:t>
      </w:r>
      <w:r w:rsidRPr="0046701C">
        <w:rPr>
          <w:rFonts w:asciiTheme="minorHAnsi" w:hAnsiTheme="minorHAnsi"/>
        </w:rPr>
        <w:t xml:space="preserve"> como insumo de los modelos predictivos.</w:t>
      </w:r>
      <w:r>
        <w:rPr>
          <w:sz w:val="24"/>
        </w:rPr>
        <w:t xml:space="preserve"> El corpus de eventos se analiza en distintos universos anidados según el filtro de calidad, la asignación de estado y la cohorte aplicada (Tabla 3.2).</w:t>
      </w:r>
    </w:p>
    <w:p>
      <w:r>
        <w:rPr>
          <w:b/>
          <w:sz w:val="20"/>
        </w:rPr>
        <w:t>Tabla 3.2. Universos de datos del corpus de eventos del Proyecto PAC.</w:t>
      </w:r>
    </w:p>
    <w:tbl>
      <w:tblPr>
        <w:tblW w:type="auto" w:w="0"/>
        <w:tblLook w:firstColumn="1" w:firstRow="1" w:lastColumn="0" w:lastRow="0" w:noHBand="0" w:noVBand="1" w:val="04A0"/>
      </w:tblPr>
      <w:tblGrid>
        <w:gridCol w:w="2929"/>
        <w:gridCol w:w="2929"/>
        <w:gridCol w:w="2929"/>
      </w:tblGrid>
      <w:tr>
        <w:tc>
          <w:tcPr>
            <w:tcW w:type="dxa" w:w="2929"/>
            <w:shd w:val="clear" w:color="auto" w:fill="D5E8F0"/>
          </w:tcPr>
          <w:p>
            <w:r>
              <w:rPr>
                <w:b/>
                <w:sz w:val="20"/>
              </w:rPr>
              <w:t>N</w:t>
            </w:r>
          </w:p>
        </w:tc>
        <w:tc>
          <w:tcPr>
            <w:tcW w:type="dxa" w:w="2929"/>
            <w:shd w:val="clear" w:color="auto" w:fill="D5E8F0"/>
          </w:tcPr>
          <w:p>
            <w:r>
              <w:rPr>
                <w:b/>
                <w:sz w:val="20"/>
              </w:rPr>
              <w:t>Definición</w:t>
            </w:r>
          </w:p>
        </w:tc>
        <w:tc>
          <w:tcPr>
            <w:tcW w:type="dxa" w:w="2929"/>
            <w:shd w:val="clear" w:color="auto" w:fill="D5E8F0"/>
          </w:tcPr>
          <w:p>
            <w:r>
              <w:rPr>
                <w:b/>
                <w:sz w:val="20"/>
              </w:rPr>
              <w:t>Uso principal</w:t>
            </w:r>
          </w:p>
        </w:tc>
      </w:tr>
      <w:tr>
        <w:tc>
          <w:tcPr>
            <w:tcW w:type="dxa" w:w="2929"/>
          </w:tcPr>
          <w:p>
            <w:r>
              <w:rPr>
                <w:b/>
                <w:sz w:val="20"/>
              </w:rPr>
              <w:t>85.286</w:t>
            </w:r>
          </w:p>
        </w:tc>
        <w:tc>
          <w:tcPr>
            <w:tcW w:type="dxa" w:w="2929"/>
          </w:tcPr>
          <w:p>
            <w:r>
              <w:rPr>
                <w:b w:val="0"/>
                <w:sz w:val="20"/>
              </w:rPr>
              <w:t>EDOs detectados totales por el pipeline (capa Events)</w:t>
            </w:r>
          </w:p>
        </w:tc>
        <w:tc>
          <w:tcPr>
            <w:tcW w:type="dxa" w:w="2929"/>
          </w:tcPr>
          <w:p>
            <w:r>
              <w:rPr>
                <w:b w:val="0"/>
                <w:sz w:val="20"/>
              </w:rPr>
              <w:t>Conteo bruto del corpus (events.parquet)</w:t>
            </w:r>
          </w:p>
        </w:tc>
      </w:tr>
      <w:tr>
        <w:tc>
          <w:tcPr>
            <w:tcW w:type="dxa" w:w="2929"/>
          </w:tcPr>
          <w:p>
            <w:r>
              <w:rPr>
                <w:b/>
                <w:sz w:val="20"/>
              </w:rPr>
              <w:t>85.277</w:t>
            </w:r>
          </w:p>
        </w:tc>
        <w:tc>
          <w:tcPr>
            <w:tcW w:type="dxa" w:w="2929"/>
          </w:tcPr>
          <w:p>
            <w:r>
              <w:rPr>
                <w:b w:val="0"/>
                <w:sz w:val="20"/>
              </w:rPr>
              <w:t>EDOs in_quality con curva SpO₂ normalizable y morfotipo asignado</w:t>
            </w:r>
          </w:p>
        </w:tc>
        <w:tc>
          <w:tcPr>
            <w:tcW w:type="dxa" w:w="2929"/>
          </w:tcPr>
          <w:p>
            <w:r>
              <w:rPr>
                <w:b w:val="0"/>
                <w:sz w:val="20"/>
              </w:rPr>
              <w:t>Fenotipado morfológico y ARI (Cap. 4)</w:t>
            </w:r>
          </w:p>
        </w:tc>
      </w:tr>
      <w:tr>
        <w:tc>
          <w:tcPr>
            <w:tcW w:type="dxa" w:w="2929"/>
          </w:tcPr>
          <w:p>
            <w:r>
              <w:rPr>
                <w:b/>
                <w:sz w:val="20"/>
              </w:rPr>
              <w:t>83.892</w:t>
            </w:r>
          </w:p>
        </w:tc>
        <w:tc>
          <w:tcPr>
            <w:tcW w:type="dxa" w:w="2929"/>
          </w:tcPr>
          <w:p>
            <w:r>
              <w:rPr>
                <w:b w:val="0"/>
                <w:sz w:val="20"/>
              </w:rPr>
              <w:t>EDOs con estado PAC asignado (subconjunto con etiqueta de estado)</w:t>
            </w:r>
          </w:p>
        </w:tc>
        <w:tc>
          <w:tcPr>
            <w:tcW w:type="dxa" w:w="2929"/>
          </w:tcPr>
          <w:p>
            <w:r>
              <w:rPr>
                <w:b w:val="0"/>
                <w:sz w:val="20"/>
              </w:rPr>
              <w:t>Acoplamiento morfotipo–estado y V de Cramér (Cap. 6)</w:t>
            </w:r>
          </w:p>
        </w:tc>
      </w:tr>
      <w:tr>
        <w:tc>
          <w:tcPr>
            <w:tcW w:type="dxa" w:w="2929"/>
          </w:tcPr>
          <w:p>
            <w:r>
              <w:rPr>
                <w:b/>
                <w:sz w:val="20"/>
              </w:rPr>
              <w:t>80.345</w:t>
            </w:r>
          </w:p>
        </w:tc>
        <w:tc>
          <w:tcPr>
            <w:tcW w:type="dxa" w:w="2929"/>
          </w:tcPr>
          <w:p>
            <w:r>
              <w:rPr>
                <w:b w:val="0"/>
                <w:sz w:val="20"/>
              </w:rPr>
              <w:t>EDOs con morfotipo y estado en las tres escalas (S, M y L)</w:t>
            </w:r>
          </w:p>
        </w:tc>
        <w:tc>
          <w:tcPr>
            <w:tcW w:type="dxa" w:w="2929"/>
          </w:tcPr>
          <w:p>
            <w:r>
              <w:rPr>
                <w:b w:val="0"/>
                <w:sz w:val="20"/>
              </w:rPr>
              <w:t>Riesgo relativo por estado; marginal de severidad 5,73 % (Cap. 6)</w:t>
            </w:r>
          </w:p>
        </w:tc>
      </w:tr>
      <w:tr>
        <w:tc>
          <w:tcPr>
            <w:tcW w:type="dxa" w:w="2929"/>
          </w:tcPr>
          <w:p>
            <w:r>
              <w:rPr>
                <w:b/>
                <w:sz w:val="20"/>
              </w:rPr>
              <w:t>78.908</w:t>
            </w:r>
          </w:p>
        </w:tc>
        <w:tc>
          <w:tcPr>
            <w:tcW w:type="dxa" w:w="2929"/>
          </w:tcPr>
          <w:p>
            <w:r>
              <w:rPr>
                <w:b w:val="0"/>
                <w:sz w:val="20"/>
              </w:rPr>
              <w:t>EDOs de la cohorte estricta (8 pacientes) con contexto de estado</w:t>
            </w:r>
          </w:p>
        </w:tc>
        <w:tc>
          <w:tcPr>
            <w:tcW w:type="dxa" w:w="2929"/>
          </w:tcPr>
          <w:p>
            <w:r>
              <w:rPr>
                <w:b w:val="0"/>
                <w:sz w:val="20"/>
              </w:rPr>
              <w:t>Modelos supervisados a nivel evento (Cap. 6)</w:t>
            </w:r>
          </w:p>
        </w:tc>
      </w:tr>
      <w:tr>
        <w:tc>
          <w:tcPr>
            <w:tcW w:type="dxa" w:w="2929"/>
          </w:tcPr>
          <w:p>
            <w:r>
              <w:rPr>
                <w:b/>
                <w:sz w:val="20"/>
              </w:rPr>
              <w:t>76.053</w:t>
            </w:r>
          </w:p>
        </w:tc>
        <w:tc>
          <w:tcPr>
            <w:tcW w:type="dxa" w:w="2929"/>
          </w:tcPr>
          <w:p>
            <w:r>
              <w:rPr>
                <w:b w:val="0"/>
                <w:sz w:val="20"/>
              </w:rPr>
              <w:t>EDOs estrictos con vector de contexto temporal completo</w:t>
            </w:r>
          </w:p>
        </w:tc>
        <w:tc>
          <w:tcPr>
            <w:tcW w:type="dxa" w:w="2929"/>
          </w:tcPr>
          <w:p>
            <w:r>
              <w:rPr>
                <w:b w:val="0"/>
                <w:sz w:val="20"/>
              </w:rPr>
              <w:t>Predicción de evento severo, Bloque B (Cap. 6 §6.9–6.10)</w:t>
            </w:r>
          </w:p>
        </w:tc>
      </w:tr>
    </w:tbl>
    <w:p>
      <w:r>
        <w:rPr>
          <w:i/>
          <w:sz w:val="18"/>
        </w:rPr>
        <w:t>Nota. Los seis universos son subconjuntos anidados del corpus de 85.286 EDOs detectados, producto de filtros sucesivos de calidad de señal, asignación de estado PAC y selección de cohorte. Todas las cifras provienen del pipeline PAC_v3 (NB01–NB07).</w:t>
      </w:r>
    </w:p>
    <w:p w14:paraId="3A9F30A5" w14:textId="77777777" w:rsidR="009E71D4" w:rsidRPr="0046701C" w:rsidRDefault="00000000" w:rsidP="0046701C">
      <w:pPr>
        <w:pStyle w:val="Ttulo2"/>
      </w:pPr>
      <w:r w:rsidRPr="0046701C">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rsidRPr="0046701C">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sidRPr="0046701C">
        <w:rPr>
          <w:rFonts w:asciiTheme="minorHAnsi" w:hAnsiTheme="minorHAnsi"/>
        </w:rPr>
        <w:t>La noche se particiona en ventanas temporales disjuntas a tres escalas complementarias:</w:t>
      </w:r>
      <w:r w:rsidRPr="00217A16">
        <w:rPr>
          <w:rFonts w:asciiTheme="minorHAnsi" w:hAnsiTheme="minorHAnsi"/>
          <w:b/>
          <w:bCs/>
        </w:rPr>
        <w:t xml:space="preserve"> S</w:t>
      </w:r>
      <w:r w:rsidRPr="0046701C">
        <w:rPr>
          <w:rFonts w:asciiTheme="minorHAnsi" w:hAnsiTheme="minorHAnsi"/>
        </w:rPr>
        <w:t xml:space="preserve"> (30 s), que captura la microdinámica peri-evento; </w:t>
      </w:r>
      <w:r w:rsidRPr="00217A16">
        <w:rPr>
          <w:rFonts w:asciiTheme="minorHAnsi" w:hAnsiTheme="minorHAnsi"/>
          <w:b/>
          <w:bCs/>
        </w:rPr>
        <w:t>M</w:t>
      </w:r>
      <w:r w:rsidRPr="0046701C">
        <w:rPr>
          <w:rFonts w:asciiTheme="minorHAnsi" w:hAnsiTheme="minorHAnsi"/>
        </w:rPr>
        <w:t xml:space="preserve"> (5 min), que </w:t>
      </w:r>
      <w:r w:rsidRPr="0046701C">
        <w:rPr>
          <w:rFonts w:asciiTheme="minorHAnsi" w:hAnsiTheme="minorHAnsi"/>
        </w:rPr>
        <w:lastRenderedPageBreak/>
        <w:t>captura la mesodinámica autonómica; y</w:t>
      </w:r>
      <w:r w:rsidRPr="00217A16">
        <w:rPr>
          <w:rFonts w:asciiTheme="minorHAnsi" w:hAnsiTheme="minorHAnsi"/>
          <w:b/>
          <w:bCs/>
        </w:rPr>
        <w:t xml:space="preserve"> L</w:t>
      </w:r>
      <w:r w:rsidRPr="0046701C">
        <w:rPr>
          <w:rFonts w:asciiTheme="minorHAnsi" w:hAnsiTheme="minorHAnsi"/>
        </w:rPr>
        <w:t xml:space="preserve"> (30 min), que captura la macrodinámica nocturna. </w:t>
      </w:r>
      <w:r w:rsidR="00217A16" w:rsidRPr="00217A16">
        <w:rPr>
          <w:rFonts w:asciiTheme="minorHAnsi" w:hAnsiTheme="minorHAnsi"/>
        </w:rPr>
        <w:t>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sidRPr="00A60BC1">
        <w:rPr>
          <w:rStyle w:val="Fuerte"/>
          <w:rFonts w:asciiTheme="minorHAnsi" w:hAnsiTheme="minorHAnsi"/>
          <w:b w:val="0"/>
          <w:bCs w:val="0"/>
        </w:rPr>
        <w:t xml:space="preserve">Cada ventana se caracteriza por un vector de 24 features que combina tres fuentes: </w:t>
      </w:r>
      <w:r w:rsidRPr="00A60BC1">
        <w:rPr>
          <w:rStyle w:val="Fuerte"/>
          <w:rFonts w:asciiTheme="minorHAnsi" w:hAnsiTheme="minorHAnsi"/>
        </w:rPr>
        <w:t>estadísticas de señal fisiológica</w:t>
      </w:r>
      <w:r w:rsidRPr="00A60BC1">
        <w:rPr>
          <w:rStyle w:val="Fuerte"/>
          <w:rFonts w:asciiTheme="minorHAnsi" w:hAnsiTheme="minorHAnsi"/>
          <w:b w:val="0"/>
          <w:bCs w:val="0"/>
        </w:rPr>
        <w:t xml:space="preserve"> (media y variabilidad de SpO₂ y FC, fracción de movimiento), </w:t>
      </w:r>
      <w:r w:rsidRPr="00A60BC1">
        <w:rPr>
          <w:rStyle w:val="Fuerte"/>
          <w:rFonts w:asciiTheme="minorHAnsi" w:hAnsiTheme="minorHAnsi"/>
        </w:rPr>
        <w:t>densidad de morfotipos</w:t>
      </w:r>
      <w:r w:rsidRPr="00A60BC1">
        <w:rPr>
          <w:rStyle w:val="Fuerte"/>
          <w:rFonts w:asciiTheme="minorHAnsi" w:hAnsiTheme="minorHAnsi"/>
          <w:b w:val="0"/>
          <w:bCs w:val="0"/>
        </w:rPr>
        <w:t xml:space="preserve"> (conteo de EDOs por tipo C1–C5 y ARI medio en la ventana), y </w:t>
      </w:r>
      <w:r w:rsidRPr="00A60BC1">
        <w:rPr>
          <w:rStyle w:val="Fuerte"/>
          <w:rFonts w:asciiTheme="minorHAnsi" w:hAnsiTheme="minorHAnsi"/>
        </w:rPr>
        <w:t>composición de estadios de sueño</w:t>
      </w:r>
      <w:r w:rsidRPr="00A60BC1">
        <w:rPr>
          <w:rStyle w:val="Fuerte"/>
          <w:rFonts w:asciiTheme="minorHAnsi" w:hAnsiTheme="minorHAnsi"/>
          <w:b w:val="0"/>
          <w:bCs w:val="0"/>
        </w:rPr>
        <w:t xml:space="preserve"> en tres categorías (vigilia, sueño ligero y sueño profundo), </w:t>
      </w:r>
      <w:r w:rsidRPr="00A60BC1">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sidRPr="00A60BC1">
        <w:rPr>
          <w:rStyle w:val="Fuerte"/>
          <w:rFonts w:asciiTheme="minorHAnsi" w:hAnsiTheme="minorHAnsi"/>
          <w:b w:val="0"/>
          <w:bCs w:val="0"/>
        </w:rPr>
        <w:t xml:space="preserve">Sobre el pool de ventanas de la cohorte estricta (8 pacientes, ≥ 10 noches </w:t>
      </w:r>
      <w:r w:rsidRPr="00B75D18">
        <w:rPr>
          <w:rStyle w:val="Fuerte"/>
          <w:rFonts w:asciiTheme="minorHAnsi" w:hAnsiTheme="minorHAnsi"/>
          <w:b w:val="0"/>
          <w:bCs w:val="0"/>
          <w:i/>
          <w:iCs/>
        </w:rPr>
        <w:t>in_quality</w:t>
      </w:r>
      <w:r w:rsidRPr="00A60BC1">
        <w:rPr>
          <w:rStyle w:val="Fuerte"/>
          <w:rFonts w:asciiTheme="minorHAnsi" w:hAnsiTheme="minorHAnsi"/>
          <w:b w:val="0"/>
          <w:bCs w:val="0"/>
        </w:rPr>
        <w:t>)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26 features nocturnas: 15 fracciones de estado (proporción de tiempo en cada estado por escala), 3 entropías de Shannon</w:t>
      </w:r>
      <w:r w:rsidR="00B75D18">
        <w:rPr>
          <w:rStyle w:val="Fuerte"/>
          <w:rFonts w:asciiTheme="minorHAnsi" w:hAnsiTheme="minorHAnsi"/>
          <w:b w:val="0"/>
          <w:bCs w:val="0"/>
        </w:rPr>
        <w:t xml:space="preserve">, </w:t>
      </w:r>
      <w:r w:rsidRPr="00A60BC1">
        <w:rPr>
          <w:rStyle w:val="Fuerte"/>
          <w:rFonts w:asciiTheme="minorHAnsi" w:hAnsiTheme="minorHAnsi"/>
          <w:b w:val="0"/>
          <w:bCs w:val="0"/>
        </w:rPr>
        <w:t>que cuantifican cuán distribuido está el tiempo nocturno entre los estados disponibles, con valores bajos cuando la noche estuvo dominada por uno o dos estados y valores altos cuando el sistema transitó por múltiples estados sin régimen sostenido</w:t>
      </w:r>
      <w:r w:rsidR="00B75D18">
        <w:rPr>
          <w:rStyle w:val="Fuerte"/>
          <w:rFonts w:asciiTheme="minorHAnsi" w:hAnsiTheme="minorHAnsi"/>
          <w:b w:val="0"/>
          <w:bCs w:val="0"/>
        </w:rPr>
        <w:t xml:space="preserve"> (fragmentación), </w:t>
      </w:r>
      <w:r w:rsidRPr="00A60BC1">
        <w:rPr>
          <w:rStyle w:val="Fuerte"/>
          <w:rFonts w:asciiTheme="minorHAnsi" w:hAnsiTheme="minorHAnsi"/>
          <w:b w:val="0"/>
          <w:bCs w:val="0"/>
        </w:rPr>
        <w:t xml:space="preserve">, 3 tasas de transición entre estados y 5 variables adicionales de contexto temporal extraídas de nights.parquet. Estas 26 features se incorporan a </w:t>
      </w:r>
      <w:r w:rsidRPr="00B75D18">
        <w:rPr>
          <w:rStyle w:val="Fuerte"/>
          <w:rFonts w:asciiTheme="minorHAnsi" w:hAnsiTheme="minorHAnsi"/>
          <w:b w:val="0"/>
          <w:bCs w:val="0"/>
          <w:i/>
          <w:iCs/>
        </w:rPr>
        <w:t>nights.parquet</w:t>
      </w:r>
      <w:r w:rsidRPr="00A60BC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rsidRPr="0046701C">
        <w:t>3.6  Modelos predictivos — Nivel Paciente</w:t>
      </w:r>
      <w:r w:rsidR="002442AF">
        <w:t xml:space="preserve"> </w:t>
      </w:r>
    </w:p>
    <w:p w14:paraId="082F89F9" w14:textId="7E43F28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matriz de diseño integra </w:t>
      </w:r>
      <w:r w:rsidRPr="002442AF">
        <w:rPr>
          <w:rFonts w:asciiTheme="minorHAnsi" w:hAnsiTheme="minorHAnsi"/>
          <w:i/>
          <w:iCs/>
        </w:rPr>
        <w:t xml:space="preserve">nights.parquet, night_multiscale_features.parquet y patients.parquet </w:t>
      </w:r>
      <w:r w:rsidRPr="0046701C">
        <w:rPr>
          <w:rFonts w:asciiTheme="minorHAnsi" w:hAnsiTheme="minorHAnsi"/>
        </w:rPr>
        <w:t xml:space="preserve">en un vector de ~50 features nocturnas. Se evalúan LightGBM (Ke et </w:t>
      </w:r>
      <w:r w:rsidRPr="0046701C">
        <w:rPr>
          <w:rFonts w:asciiTheme="minorHAnsi" w:hAnsiTheme="minorHAnsi"/>
        </w:rPr>
        <w:lastRenderedPageBreak/>
        <w:t>al., 2017) y regresión logística como baseline. La variable dependiente es la categoría de severidad AASM definida por ODI3 en formulación de cuatro clases y binaria (≥ Moderado). Un</w:t>
      </w:r>
      <w:r w:rsidR="002442AF">
        <w:rPr>
          <w:rFonts w:asciiTheme="minorHAnsi" w:hAnsiTheme="minorHAnsi"/>
        </w:rPr>
        <w:t xml:space="preserve">a evaluación de aportes </w:t>
      </w:r>
      <w:r w:rsidRPr="0046701C">
        <w:rPr>
          <w:rFonts w:asciiTheme="minorHAnsi" w:hAnsiTheme="minorHAnsi"/>
        </w:rPr>
        <w:t xml:space="preserve">por bloques </w:t>
      </w:r>
      <w:r w:rsidR="002442AF">
        <w:rPr>
          <w:rFonts w:asciiTheme="minorHAnsi" w:hAnsiTheme="minorHAnsi"/>
        </w:rPr>
        <w:t>(</w:t>
      </w:r>
      <w:r w:rsidRPr="0046701C">
        <w:rPr>
          <w:rFonts w:asciiTheme="minorHAnsi" w:hAnsiTheme="minorHAnsi"/>
        </w:rPr>
        <w:t>PAC States, morfotipos, features clínicas convencionales, ARI</w:t>
      </w:r>
      <w:r w:rsidR="002442AF">
        <w:rPr>
          <w:rFonts w:asciiTheme="minorHAnsi" w:hAnsiTheme="minorHAnsi"/>
        </w:rPr>
        <w:t>)</w:t>
      </w:r>
      <w:r w:rsidRPr="0046701C">
        <w:rPr>
          <w:rFonts w:asciiTheme="minorHAnsi" w:hAnsiTheme="minorHAnsi"/>
        </w:rPr>
        <w:t xml:space="preserve">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sidRPr="0046701C">
        <w:rPr>
          <w:rFonts w:asciiTheme="minorHAnsi" w:hAnsiTheme="minorHAnsi"/>
        </w:rPr>
        <w:t>Un segundo módulo estima la probabilidad de que el siguiente EDO sea morfológicamente severo (C4 o C5) a partir del contexto PAC inmediato</w:t>
      </w:r>
      <w:r w:rsidR="002442AF">
        <w:rPr>
          <w:rFonts w:asciiTheme="minorHAnsi" w:hAnsiTheme="minorHAnsi"/>
        </w:rPr>
        <w:t>,</w:t>
      </w:r>
      <w:r w:rsidRPr="0046701C">
        <w:rPr>
          <w:rFonts w:asciiTheme="minorHAnsi" w:hAnsiTheme="minorHAnsi"/>
        </w:rPr>
        <w:t xml:space="preserve"> estado activo en las tres escalas, historial reciente de estados y densidad de morfotipos. Como síntesis clínica de ambos módulos, se construye el </w:t>
      </w:r>
      <w:r w:rsidRPr="002442AF">
        <w:rPr>
          <w:rFonts w:asciiTheme="minorHAnsi" w:hAnsiTheme="minorHAnsi"/>
          <w:b/>
          <w:bCs/>
        </w:rPr>
        <w:t>Risk Score PAC</w:t>
      </w:r>
      <w:r w:rsidRPr="0046701C">
        <w:rPr>
          <w:rFonts w:asciiTheme="minorHAnsi" w:hAnsiTheme="minorHAnsi"/>
        </w:rPr>
        <w:t>: un índice continuo en escala 0–100 que combina la probabilidad de evento severo (peso 0,40) y la probabilidad de noche de alto riesgo (peso 0,60), calculado sobre el registro ya procesado para fenotipado post-diagnóstico y seguimiento longitudinal</w:t>
      </w:r>
      <w:r w:rsidRPr="00D02C94">
        <w:rPr>
          <w:rFonts w:asciiTheme="minorHAnsi" w:hAnsiTheme="minorHAnsi"/>
        </w:rPr>
        <w:t>.</w:t>
      </w:r>
      <w:r w:rsidR="00D02C94" w:rsidRPr="00D02C94">
        <w:rPr>
          <w:rFonts w:asciiTheme="minorHAnsi" w:hAnsiTheme="minorHAnsi"/>
        </w:rPr>
        <w:t xml:space="preserve"> Valores por debajo de 30 correspondieron a noches </w:t>
      </w:r>
      <w:r w:rsidR="00D02C94" w:rsidRPr="00D02C94">
        <w:rPr>
          <w:rFonts w:asciiTheme="minorHAnsi" w:hAnsiTheme="minorHAnsi"/>
          <w:i/>
          <w:iCs/>
        </w:rPr>
        <w:t>Normal o Leve</w:t>
      </w:r>
      <w:r w:rsidR="00D02C94" w:rsidRPr="00D02C94">
        <w:rPr>
          <w:rFonts w:asciiTheme="minorHAnsi" w:hAnsiTheme="minorHAnsi"/>
        </w:rPr>
        <w:t xml:space="preserve">, mientras que valores superiores a 60 identificaron el 100 % de las noches </w:t>
      </w:r>
      <w:r w:rsidR="00D02C94" w:rsidRPr="00D02C94">
        <w:rPr>
          <w:rFonts w:asciiTheme="minorHAnsi" w:hAnsiTheme="minorHAnsi"/>
          <w:i/>
          <w:iCs/>
        </w:rPr>
        <w:t>Severas</w:t>
      </w:r>
      <w:r w:rsidR="00D02C94" w:rsidRPr="00D02C94">
        <w:rPr>
          <w:rFonts w:asciiTheme="minorHAnsi" w:hAnsiTheme="minorHAnsi"/>
        </w:rPr>
        <w:t xml:space="preserve"> y el 74,3 % de las </w:t>
      </w:r>
      <w:r w:rsidR="00D02C94" w:rsidRPr="00D02C94">
        <w:rPr>
          <w:rFonts w:asciiTheme="minorHAnsi" w:hAnsiTheme="minorHAnsi"/>
          <w:i/>
          <w:iCs/>
        </w:rPr>
        <w:t>Moderadas</w:t>
      </w:r>
      <w:r w:rsidR="00D02C94" w:rsidRPr="00D02C94">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rsidRPr="0046701C">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U</w:t>
      </w:r>
      <w:r w:rsidR="00B9177A">
        <w:rPr>
          <w:rFonts w:asciiTheme="minorHAnsi" w:hAnsiTheme="minorHAnsi"/>
        </w:rPr>
        <w:t xml:space="preserve">n </w:t>
      </w:r>
      <w:r w:rsidRPr="0046701C">
        <w:rPr>
          <w:rFonts w:asciiTheme="minorHAnsi" w:hAnsiTheme="minorHAnsi"/>
        </w:rPr>
        <w:t xml:space="preserve">módulo </w:t>
      </w:r>
      <w:r>
        <w:rPr>
          <w:rFonts w:asciiTheme="minorHAnsi" w:hAnsiTheme="minorHAnsi"/>
        </w:rPr>
        <w:t>adicional</w:t>
      </w:r>
      <w:r w:rsidR="00B9177A">
        <w:rPr>
          <w:rFonts w:asciiTheme="minorHAnsi" w:hAnsiTheme="minorHAnsi"/>
        </w:rPr>
        <w:t xml:space="preserve"> </w:t>
      </w:r>
      <w:r w:rsidRPr="0046701C">
        <w:rPr>
          <w:rFonts w:asciiTheme="minorHAnsi" w:hAnsiTheme="minorHAnsi"/>
        </w:rPr>
        <w:t xml:space="preserve">extiende el análisis al dominio temporal prospectivo: sin señal de evento activo, </w:t>
      </w:r>
      <w:r w:rsidRPr="00B9177A">
        <w:rPr>
          <w:rFonts w:asciiTheme="minorHAnsi" w:hAnsiTheme="minorHAnsi"/>
          <w:b/>
          <w:bCs/>
        </w:rPr>
        <w:t>¿puede el estado fisiológico PAC actual anticipar la ocurrencia de un evento severo en los próximos Δt minutos?</w:t>
      </w:r>
      <w:r w:rsidRPr="0046701C">
        <w:rPr>
          <w:rFonts w:asciiTheme="minorHAnsi" w:hAnsiTheme="minorHAnsi"/>
        </w:rPr>
        <w:t xml:space="preserve"> Se generan 452.955 ventanas de 30 s</w:t>
      </w:r>
      <w:r w:rsidR="00026741">
        <w:rPr>
          <w:rFonts w:asciiTheme="minorHAnsi" w:hAnsiTheme="minorHAnsi"/>
        </w:rPr>
        <w:t xml:space="preserve">, </w:t>
      </w:r>
      <w:r w:rsidRPr="0046701C">
        <w:rPr>
          <w:rFonts w:asciiTheme="minorHAnsi" w:hAnsiTheme="minorHAnsi"/>
        </w:rPr>
        <w:t>excluyendo ventanas con evento activo</w:t>
      </w:r>
      <w:r w:rsidR="00026741">
        <w:rPr>
          <w:rFonts w:asciiTheme="minorHAnsi" w:hAnsiTheme="minorHAnsi"/>
        </w:rPr>
        <w:t>,</w:t>
      </w:r>
      <w:r w:rsidRPr="0046701C">
        <w:rPr>
          <w:rFonts w:asciiTheme="minorHAnsi" w:hAnsiTheme="minorHAnsi"/>
        </w:rPr>
        <w:t xml:space="preserve"> para cuatro horizontes </w:t>
      </w:r>
      <w:r w:rsidRPr="00026741">
        <w:rPr>
          <w:rFonts w:ascii="Courier New" w:hAnsi="Courier New" w:cs="Courier New"/>
        </w:rPr>
        <w:t xml:space="preserve">H </w:t>
      </w:r>
      <w:r w:rsidRPr="00026741">
        <w:rPr>
          <w:rFonts w:ascii="Cambria Math" w:hAnsi="Cambria Math" w:cs="Cambria Math"/>
        </w:rPr>
        <w:t>∈</w:t>
      </w:r>
      <w:r w:rsidRPr="00026741">
        <w:rPr>
          <w:rFonts w:ascii="Courier New" w:hAnsi="Courier New" w:cs="Courier New"/>
        </w:rPr>
        <w:t xml:space="preserve"> {2, 5, 10, 15} min</w:t>
      </w:r>
      <w:r w:rsidRPr="0046701C">
        <w:rPr>
          <w:rFonts w:asciiTheme="minorHAnsi" w:hAnsiTheme="minorHAnsi"/>
        </w:rPr>
        <w:t xml:space="preserve">, cada una caracterizada por el vector PAC más features de historial acumulado (coupling index acumulado, conteo de severos, tiempo desde el último EDO). Los horizontes se evalúan bajo tres criterios: </w:t>
      </w:r>
      <w:r w:rsidR="00026741" w:rsidRPr="00026741">
        <w:rPr>
          <w:rFonts w:asciiTheme="minorHAnsi" w:hAnsiTheme="minorHAnsi"/>
        </w:rPr>
        <w:t xml:space="preserve">margen suficiente para el tiempo de activación del pulsioxímetro </w:t>
      </w:r>
      <w:r w:rsidRPr="0046701C">
        <w:rPr>
          <w:rFonts w:asciiTheme="minorHAnsi" w:hAnsiTheme="minorHAnsi"/>
        </w:rPr>
        <w:t>(&gt;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rsidRPr="0046701C">
        <w:t>3.8  Estrategia de validación estadística</w:t>
      </w:r>
    </w:p>
    <w:p w14:paraId="4386AB34"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estabilidad de las métricas ante la variabilidad intraindividual se evalúa mediante </w:t>
      </w:r>
      <w:r w:rsidRPr="00F75180">
        <w:rPr>
          <w:rFonts w:asciiTheme="minorHAnsi" w:hAnsiTheme="minorHAnsi"/>
        </w:rPr>
        <w:t xml:space="preserve">tres procedimientos complementarios: </w:t>
      </w:r>
      <w:r w:rsidR="00F75180" w:rsidRPr="00F75180">
        <w:rPr>
          <w:rFonts w:asciiTheme="minorHAnsi" w:hAnsiTheme="minorHAnsi"/>
        </w:rPr>
        <w:t xml:space="preserve">el coeficiente de correlación intraclase </w:t>
      </w:r>
      <w:r w:rsidRPr="0046701C">
        <w:rPr>
          <w:rFonts w:asciiTheme="minorHAnsi" w:hAnsiTheme="minorHAnsi"/>
        </w:rPr>
        <w:t xml:space="preserve">ICC(1,1) (Koo &amp; Li, 2016), </w:t>
      </w:r>
      <w:r w:rsidR="00F75180" w:rsidRPr="00F75180">
        <w:rPr>
          <w:rFonts w:asciiTheme="minorHAnsi" w:hAnsiTheme="minorHAnsi"/>
        </w:rPr>
        <w:t>que cuantifica qué fracción de la variabilidad total de una métrica es atribuible a diferencias genuinas entre pacientes y no a fluctuaciones noche a noche</w:t>
      </w:r>
      <w:r w:rsidRPr="0046701C">
        <w:rPr>
          <w:rFonts w:asciiTheme="minorHAnsi" w:hAnsiTheme="minorHAnsi"/>
        </w:rPr>
        <w:t>;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r>
        <w:rPr>
          <w:rFonts w:ascii="Arial" w:hAnsi="Arial"/>
        </w:rPr>
        <w:t>El Capítulo 4 reporta los resultados del primer nivel de análisis: el fenotipado morfológico de los EDOs y la caracterización empírica del ARI.</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