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PAC_v2: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PAC_v2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PAC_v2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PAC_v2: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PAC_v2 (Phenotyping by Adaptive Clustering v2)</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byte-idénticas en cualquier ejecución posterior.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PAC_v2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PAC_v2,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 la Desaturación (IRD)</w:t>
      </w:r>
    </w:p>
    <w:p>
      <w:pPr>
        <w:spacing w:after="160" w:before="0" w:line="360"/>
        <w:jc w:val="both"/>
      </w:pPr>
      <w:r>
        <w:rPr>
          <w:rFonts w:ascii="Arial" w:cs="Arial" w:eastAsia="Arial" w:hAnsi="Arial"/>
          <w:b w:val="false"/>
          <w:bCs w:val="false"/>
          <w:color w:val="000000"/>
          <w:sz w:val="22"/>
          <w:szCs w:val="22"/>
        </w:rPr>
        <w:t xml:space="preserve">Como métrica multimodal de la respuesta fisiológica al evento, la capa Events calcula el Índice de Respuesta a la Desaturación (IRD), que integra las tres señales del dispositivo en un único escalar ponderado:</w:t>
      </w:r>
    </w:p>
    <w:p>
      <w:pPr>
        <w:spacing w:after="160" w:before="160"/>
        <w:jc w:val="center"/>
      </w:pPr>
      <w:r>
        <w:rPr>
          <w:rFonts w:ascii="Arial" w:cs="Arial" w:eastAsia="Arial" w:hAnsi="Arial"/>
          <w:b w:val="false"/>
          <w:bCs w:val="false"/>
          <w:sz w:val="22"/>
          <w:szCs w:val="22"/>
        </w:rPr>
        <w:t xml:space="preserve">IRD = 0,5 × IRD</w:t>
      </w:r>
      <w:r>
        <w:rPr>
          <w:rFonts w:ascii="Arial" w:cs="Arial" w:eastAsia="Arial" w:hAnsi="Arial"/>
          <w:b w:val="false"/>
          <w:bCs w:val="false"/>
          <w:sz w:val="18"/>
          <w:szCs w:val="18"/>
        </w:rPr>
        <w:t xml:space="preserve">SpO₂</w:t>
      </w:r>
      <w:r>
        <w:rPr>
          <w:rFonts w:ascii="Arial" w:cs="Arial" w:eastAsia="Arial" w:hAnsi="Arial"/>
          <w:b w:val="false"/>
          <w:bCs w:val="false"/>
          <w:sz w:val="22"/>
          <w:szCs w:val="22"/>
        </w:rPr>
        <w:t xml:space="preserve">  +  0,3 × IRD</w:t>
      </w:r>
      <w:r>
        <w:rPr>
          <w:rFonts w:ascii="Arial" w:cs="Arial" w:eastAsia="Arial" w:hAnsi="Arial"/>
          <w:b w:val="false"/>
          <w:bCs w:val="false"/>
          <w:sz w:val="18"/>
          <w:szCs w:val="18"/>
        </w:rPr>
        <w:t xml:space="preserve">FC</w:t>
      </w:r>
      <w:r>
        <w:rPr>
          <w:rFonts w:ascii="Arial" w:cs="Arial" w:eastAsia="Arial" w:hAnsi="Arial"/>
          <w:b w:val="false"/>
          <w:bCs w:val="false"/>
          <w:sz w:val="22"/>
          <w:szCs w:val="22"/>
        </w:rPr>
        <w:t xml:space="preserve">  +  0,2 × IRD</w:t>
      </w:r>
      <w:r>
        <w:rPr>
          <w:rFonts w:ascii="Arial" w:cs="Arial" w:eastAsia="Arial" w:hAnsi="Arial"/>
          <w:b w:val="false"/>
          <w:bCs w:val="false"/>
          <w:sz w:val="18"/>
          <w:szCs w:val="18"/>
        </w:rPr>
        <w:t xml:space="preserve">MOV</w:t>
      </w:r>
    </w:p>
    <w:p>
      <w:pPr>
        <w:spacing w:after="160" w:before="0" w:line="360"/>
        <w:jc w:val="both"/>
      </w:pPr>
      <w:r>
        <w:rPr>
          <w:rFonts w:ascii="Arial" w:cs="Arial" w:eastAsia="Arial" w:hAnsi="Arial"/>
          <w:b w:val="false"/>
          <w:bCs w:val="false"/>
          <w:color w:val="000000"/>
          <w:sz w:val="22"/>
          <w:szCs w:val="22"/>
        </w:rPr>
        <w:t xml:space="preserve">Cada componente se normaliza al baseline de la señal en el contexto del evento —fracción relativa de la magnitud basal— haciéndolas comparables en escala a pesar de medir magnitudes fisiológicas distintas. Los pesos están centralizados en config.py y pueden recalibrarse en trabajos futuros sin necesidad de re-detectar los EDOs.  El IRD nocturno se define como la mediana del IRD_evento de todos los EDOs de la noche y opera como indicador de la carga de respuesta autonómica global de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organizadas en cuatro bloques temáticos: índices clínicos convencionales, features morfológicas agregadas por morfotipo, features de PAC States (fracciones, entropías, transiciones), y estadísticas de señal cruda. Tabla de entrada primaria para los modelos predictivos de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confirma que la morfología de los EDOs no es aleatoria sino que se organiza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impacto sistémico mínimo (C1) hasta desaturaciones severas prolongadas con respuesta autonómica paradójicamente baja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Mae,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se define el Índice de Respuesta Autonómica (ARI), que busca cuantificar la eficiencia de la respuesta del organismo ante cada evento de desaturación, con independencia de cuán profunda sea la caída de SpO₂. El ARI es un índice adimensional calculado como combinación ponderada de dos componentes de la respuesta cardíaca, transformados a percentiles dentro del corpus completo de eventos con caída positiva de SpO₂:</w:t>
      </w:r>
    </w:p>
    <w:p>
      <w:pPr>
        <w:spacing w:after="160" w:before="160"/>
        <w:jc w:val="center"/>
      </w:pPr>
      <w:r>
        <w:rPr>
          <w:rFonts w:ascii="Arial" w:cs="Arial" w:eastAsia="Arial" w:hAnsi="Arial"/>
          <w:sz w:val="22"/>
          <w:szCs w:val="22"/>
        </w:rPr>
        <w:t xml:space="preserve">ARI = 0,6 × Pct(velocidad de respuesta cardíaca) + 0,4 × Pct(ganancia cardíaca normalizada)</w:t>
      </w:r>
    </w:p>
    <w:p>
      <w:pPr>
        <w:spacing w:after="160" w:before="0" w:line="360"/>
        <w:jc w:val="both"/>
      </w:pPr>
      <w:r>
        <w:rPr>
          <w:rFonts w:ascii="Arial" w:cs="Arial" w:eastAsia="Arial" w:hAnsi="Arial"/>
          <w:b w:val="false"/>
          <w:bCs w:val="false"/>
          <w:color w:val="000000"/>
          <w:sz w:val="22"/>
          <w:szCs w:val="22"/>
        </w:rPr>
        <w:t xml:space="preserve">La transformación a percentiles [Pct(·)] hace el índice robusto a diferencias de escala entre variables y elimina la influencia del nivel basal absoluto de FC entre pacientes. Los pesos reflejan la mayor varianza del componente de velocidad de respuesta. El ARI es conceptualmente ortogonal a la severidad hipóxica: un valor alto indica una respuesta autonómica eficiente ante el estímulo (taquicardia rápida y proporcionada), mientras que un valor bajo podría indicar respuesta atenuada, ya sea por adaptación crónica a hipoxia intermitente severa, por agotamiento autonómico, o por silencio cardíaco de otro origen. La ortogonalidad del ARI respecto a la severidad morfológica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IRD medio de los eventos de la ventana (ird_mean_local =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 la que mejor captura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tabla nights de la capa Gold opera como matriz de diseño para los modelos de clasificación. Sus 146 features por noche se organizan en cuatro bloques temáticos: índices clínicos convencionales (ODI3, T90, IRD nocturno); features morfológicas agregadas (distribución de morfotipos C1–C5, frac_C4C5, IRD_mean);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La selección del horizonte óptimo H=5 min responde a un análisis de trade-off entre tres criterios: (1) margen temporal suficiente para que el dispositivo active la estimulación antes del nadir hipóxico; (2) AUC-ROC robusto en validación LOPO-CV; (3) PPV clínicamente aceptable. A mayor horizonte, el PPV tiende a aumentar (mayor proporción de alertas correctas) pero el AUC disminuye (la predicción pierde discriminación). La relación entre horizonte y métricas de predicción se reporta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Mae,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hypnotic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Mae,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2026-05-24T02:07:52.390Z</dcterms:created>
  <dcterms:modified xsi:type="dcterms:W3CDTF">2026-05-24T02:07:52.391Z</dcterms:modified>
</cp:coreProperties>
</file>

<file path=docProps/custom.xml><?xml version="1.0" encoding="utf-8"?>
<Properties xmlns="http://schemas.openxmlformats.org/officeDocument/2006/custom-properties" xmlns:vt="http://schemas.openxmlformats.org/officeDocument/2006/docPropsVTypes"/>
</file>