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E3A5F"/>
          <w:sz w:val="40"/>
          <w:szCs w:val="40"/>
        </w:rPr>
        <w:t xml:space="preserve">CAPÍTULO 3</w:t>
      </w:r>
    </w:p>
    <w:p>
      <w:pPr>
        <w:spacing w:after="480" w:before="0"/>
        <w:jc w:val="left"/>
      </w:pPr>
      <w:r>
        <w:rPr>
          <w:rFonts w:ascii="Arial" w:cs="Arial" w:eastAsia="Arial" w:hAnsi="Arial"/>
          <w:b/>
          <w:bCs/>
          <w:color w:val="1E3A5F"/>
          <w:sz w:val="32"/>
          <w:szCs w:val="32"/>
        </w:rPr>
        <w:t xml:space="preserve">Materiales y Métodos</w:t>
      </w:r>
    </w:p>
    <w:p>
      <w:pPr>
        <w:spacing w:after="160" w:before="0" w:line="360"/>
        <w:jc w:val="both"/>
      </w:pPr>
      <w:r>
        <w:rPr>
          <w:rFonts w:ascii="Arial" w:cs="Arial" w:eastAsia="Arial" w:hAnsi="Arial"/>
          <w:b w:val="false"/>
          <w:bCs w:val="false"/>
          <w:color w:val="000000"/>
          <w:sz w:val="22"/>
          <w:szCs w:val="22"/>
        </w:rPr>
        <w:t xml:space="preserve">El presente capítulo describe la infraestructura de datos, los métodos analíticos y la estrategia de validación que permiten operacionalizar los conceptos desarrollados en el Capítulo 2. La exposición sigue el orden lógico del pipeline PAC_v2: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PAC_v2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pPr>
        <w:pStyle w:val="Heading2"/>
        <w:spacing w:after="160" w:before="360"/>
        <w:jc w:val="left"/>
      </w:pPr>
      <w:r>
        <w:rPr>
          <w:rFonts w:ascii="Arial" w:cs="Arial" w:eastAsia="Arial" w:hAnsi="Arial"/>
          <w:b/>
          <w:bCs/>
          <w:color w:val="1E3A5F"/>
          <w:sz w:val="28"/>
          <w:szCs w:val="28"/>
        </w:rPr>
        <w:t xml:space="preserve">3.1  Diseño del estudio y consideraciones éticas</w:t>
      </w:r>
    </w:p>
    <w:p>
      <w:pPr>
        <w:spacing w:after="160" w:before="0" w:line="360"/>
        <w:jc w:val="both"/>
      </w:pPr>
      <w:r>
        <w:rPr>
          <w:rFonts w:ascii="Arial" w:cs="Arial" w:eastAsia="Arial" w:hAnsi="Arial"/>
          <w:b w:val="false"/>
          <w:bCs w:val="false"/>
          <w:color w:val="000000"/>
          <w:sz w:val="22"/>
          <w:szCs w:val="22"/>
        </w:rPr>
        <w:t xml:space="preserve">Se realizó un análisis observacional retrospectivo de señales fisiológicas nocturnas adquiridas en entorno domiciliario, en el marco del protocolo clínico CLP-275001 v1.2 (abril de 2025). El diseño original del estudio clínico es cruzado, aleatorizado y doble ciego, y cumple con los estándares </w:t>
      </w:r>
      <w:r>
        <w:rPr>
          <w:rFonts w:ascii="Arial" w:cs="Arial" w:eastAsia="Arial" w:hAnsi="Arial"/>
          <w:b w:val="false"/>
          <w:bCs w:val="false"/>
          <w:color w:val="000000"/>
          <w:sz w:val="22"/>
          <w:szCs w:val="22"/>
        </w:rPr>
        <w:t xml:space="preserve">International Conference on Harmonisation — Good Clinical Practice</w:t>
      </w:r>
      <w:r>
        <w:rPr>
          <w:rFonts w:ascii="Arial" w:cs="Arial" w:eastAsia="Arial" w:hAnsi="Arial"/>
          <w:b w:val="false"/>
          <w:bCs w:val="false"/>
          <w:color w:val="000000"/>
          <w:sz w:val="22"/>
          <w:szCs w:val="22"/>
        </w:rPr>
        <w:t xml:space="preserve"> (ICH GCP) y las regulaciones aplicables de la </w:t>
      </w:r>
      <w:r>
        <w:rPr>
          <w:rFonts w:ascii="Arial" w:cs="Arial" w:eastAsia="Arial" w:hAnsi="Arial"/>
          <w:b w:val="false"/>
          <w:bCs w:val="false"/>
          <w:color w:val="000000"/>
          <w:sz w:val="22"/>
          <w:szCs w:val="22"/>
        </w:rPr>
        <w:t xml:space="preserve">Food and Drug Administration</w:t>
      </w:r>
      <w:r>
        <w:rPr>
          <w:rFonts w:ascii="Arial" w:cs="Arial" w:eastAsia="Arial" w:hAnsi="Arial"/>
          <w:b w:val="false"/>
          <w:bCs w:val="false"/>
          <w:color w:val="000000"/>
          <w:sz w:val="22"/>
          <w:szCs w:val="22"/>
        </w:rPr>
        <w:t xml:space="preserve">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pPr>
        <w:spacing w:after="160" w:before="0" w:line="360"/>
        <w:jc w:val="both"/>
      </w:pPr>
      <w:r>
        <w:rPr>
          <w:rFonts w:ascii="Arial" w:cs="Arial" w:eastAsia="Arial" w:hAnsi="Arial"/>
          <w:b w:val="false"/>
          <w:bCs w:val="false"/>
          <w:color w:val="000000"/>
          <w:sz w:val="22"/>
          <w:szCs w:val="22"/>
        </w:rPr>
        <w:t xml:space="preserve">El protocolo fue diseñado para la evaluación de un dispositivo de monitoreo del sueño en condiciones domiciliarias. Todos los participantes otorgaron su consentimiento informado previo al inicio del estudio. Los datos fueron anonimizados mediante identificadores internos de paciente antes del procesamiento analítico, y las señales de SpO₂, frecuencia cardíaca y movimiento se utilizaron exclusivamente con fines de investigación, de acuerdo con las condiciones establecidas en el protocolo.</w:t>
      </w:r>
    </w:p>
    <w:p>
      <w:pPr>
        <w:pStyle w:val="Heading2"/>
        <w:spacing w:after="160" w:before="360"/>
        <w:jc w:val="left"/>
      </w:pPr>
      <w:r>
        <w:rPr>
          <w:rFonts w:ascii="Arial" w:cs="Arial" w:eastAsia="Arial" w:hAnsi="Arial"/>
          <w:b/>
          <w:bCs/>
          <w:color w:val="1E3A5F"/>
          <w:sz w:val="28"/>
          <w:szCs w:val="28"/>
        </w:rPr>
        <w:t xml:space="preserve">3.2  Participantes y adquisición de datos</w:t>
      </w:r>
    </w:p>
    <w:p>
      <w:pPr>
        <w:pStyle w:val="Heading3"/>
        <w:spacing w:after="120" w:before="280"/>
        <w:jc w:val="left"/>
      </w:pPr>
      <w:r>
        <w:rPr>
          <w:rFonts w:ascii="Arial" w:cs="Arial" w:eastAsia="Arial" w:hAnsi="Arial"/>
          <w:b/>
          <w:bCs/>
          <w:color w:val="1E3A5F"/>
          <w:sz w:val="24"/>
          <w:szCs w:val="24"/>
        </w:rPr>
        <w:t xml:space="preserve">3.2.1  Cohorte</w:t>
      </w:r>
    </w:p>
    <w:p>
      <w:pPr>
        <w:spacing w:after="160" w:before="0" w:line="360"/>
        <w:jc w:val="both"/>
      </w:pPr>
      <w:r>
        <w:rPr>
          <w:rFonts w:ascii="Arial" w:cs="Arial" w:eastAsia="Arial" w:hAnsi="Arial"/>
          <w:b w:val="false"/>
          <w:bCs w:val="false"/>
          <w:color w:val="000000"/>
          <w:sz w:val="22"/>
          <w:szCs w:val="22"/>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categoría normal, consistente con poblaciones referidas por sospecha de síndrome de apnea obstructiva del sueño (SAOS).</w:t>
      </w:r>
    </w:p>
    <w:p>
      <w:pPr>
        <w:spacing w:after="160" w:before="0" w:line="360"/>
        <w:jc w:val="both"/>
      </w:pPr>
      <w:r>
        <w:rPr>
          <w:rFonts w:ascii="Arial" w:cs="Arial" w:eastAsia="Arial" w:hAnsi="Arial"/>
          <w:b w:val="false"/>
          <w:bCs w:val="false"/>
          <w:color w:val="000000"/>
          <w:sz w:val="22"/>
          <w:szCs w:val="22"/>
        </w:rPr>
        <w:t xml:space="preserve">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pPr>
        <w:pStyle w:val="Heading3"/>
        <w:spacing w:after="120" w:before="280"/>
        <w:jc w:val="left"/>
      </w:pPr>
      <w:r>
        <w:rPr>
          <w:rFonts w:ascii="Arial" w:cs="Arial" w:eastAsia="Arial" w:hAnsi="Arial"/>
          <w:b/>
          <w:bCs/>
          <w:color w:val="1E3A5F"/>
          <w:sz w:val="24"/>
          <w:szCs w:val="24"/>
        </w:rPr>
        <w:t xml:space="preserve">3.2.2  Dispositivo SOMNI 6000</w:t>
      </w:r>
    </w:p>
    <w:p>
      <w:pPr>
        <w:spacing w:after="160" w:before="0" w:line="360"/>
        <w:jc w:val="both"/>
      </w:pPr>
      <w:r>
        <w:rPr>
          <w:rFonts w:ascii="Arial" w:cs="Arial" w:eastAsia="Arial" w:hAnsi="Arial"/>
          <w:b w:val="false"/>
          <w:bCs w:val="false"/>
          <w:color w:val="000000"/>
          <w:sz w:val="22"/>
          <w:szCs w:val="22"/>
        </w:rPr>
        <w:t xml:space="preserve">Las señales fisiológicas fueron adquiridas con el dispositivo SOMNI 6000, un monitor portátil de uso domiciliario aprobado por ANMAT para el registro de oximetría nocturna. El SOMNI 6000 integra un pulsioxímetro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w:t>
      </w:r>
      <w:r>
        <w:rPr>
          <w:rFonts w:ascii="Arial" w:cs="Arial" w:eastAsia="Arial" w:hAnsi="Arial"/>
          <w:b w:val="false"/>
          <w:bCs w:val="false"/>
          <w:color w:val="000000"/>
          <w:sz w:val="22"/>
          <w:szCs w:val="22"/>
        </w:rPr>
        <w:t xml:space="preserve">proxy</w:t>
      </w:r>
      <w:r>
        <w:rPr>
          <w:rFonts w:ascii="Arial" w:cs="Arial" w:eastAsia="Arial" w:hAnsi="Arial"/>
          <w:b w:val="false"/>
          <w:bCs w:val="false"/>
          <w:color w:val="000000"/>
          <w:sz w:val="22"/>
          <w:szCs w:val="22"/>
        </w:rPr>
        <w:t xml:space="preserve"> de movimiento y agitación motora (MOV, unidades arbitrarias). La transmisión de datos se realiza por Bluetooth LE hacia un dispositivo móvil. La duración media del registro por noche en la cohorte fue de 5,8 ± 1,5 horas.</w:t>
      </w:r>
    </w:p>
    <w:p>
      <w:pPr>
        <w:spacing w:after="160" w:before="0" w:line="360"/>
        <w:jc w:val="both"/>
      </w:pPr>
      <w:r>
        <w:rPr>
          <w:rFonts w:ascii="Arial" w:cs="Arial" w:eastAsia="Arial" w:hAnsi="Arial"/>
          <w:b w:val="false"/>
          <w:bCs w:val="false"/>
          <w:color w:val="000000"/>
          <w:sz w:val="22"/>
          <w:szCs w:val="22"/>
        </w:rPr>
        <w:t xml:space="preserve">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PAC_v2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w:t>
      </w:r>
      <w:r>
        <w:rPr>
          <w:rFonts w:ascii="Arial" w:cs="Arial" w:eastAsia="Arial" w:hAnsi="Arial"/>
          <w:b w:val="false"/>
          <w:bCs w:val="false"/>
          <w:color w:val="000000"/>
          <w:sz w:val="22"/>
          <w:szCs w:val="22"/>
        </w:rPr>
        <w:t xml:space="preserve">arousals</w:t>
      </w:r>
      <w:r>
        <w:rPr>
          <w:rFonts w:ascii="Arial" w:cs="Arial" w:eastAsia="Arial" w:hAnsi="Arial"/>
          <w:b w:val="false"/>
          <w:bCs w:val="false"/>
          <w:color w:val="000000"/>
          <w:sz w:val="22"/>
          <w:szCs w:val="22"/>
        </w:rPr>
        <w:t xml:space="preserve"> motores y silencio postural.</w:t>
      </w:r>
    </w:p>
    <w:p>
      <w:pPr>
        <w:pStyle w:val="Heading3"/>
        <w:spacing w:after="120" w:before="280"/>
        <w:jc w:val="left"/>
      </w:pPr>
      <w:r>
        <w:rPr>
          <w:rFonts w:ascii="Arial" w:cs="Arial" w:eastAsia="Arial" w:hAnsi="Arial"/>
          <w:b/>
          <w:bCs/>
          <w:color w:val="1E3A5F"/>
          <w:sz w:val="24"/>
          <w:szCs w:val="24"/>
        </w:rPr>
        <w:t xml:space="preserve">3.2.3  Protocolo de adquisición</w:t>
      </w:r>
    </w:p>
    <w:p>
      <w:pPr>
        <w:spacing w:after="160" w:before="0" w:line="360"/>
        <w:jc w:val="both"/>
      </w:pPr>
      <w:r>
        <w:rPr>
          <w:rFonts w:ascii="Arial" w:cs="Arial" w:eastAsia="Arial" w:hAnsi="Arial"/>
          <w:b w:val="false"/>
          <w:bCs w:val="false"/>
          <w:color w:val="000000"/>
          <w:sz w:val="22"/>
          <w:szCs w:val="22"/>
        </w:rPr>
        <w:t xml:space="preserve">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w:t>
      </w:r>
      <w:r>
        <w:rPr>
          <w:rFonts w:ascii="Arial" w:cs="Arial" w:eastAsia="Arial" w:hAnsi="Arial"/>
          <w:b w:val="false"/>
          <w:bCs w:val="false"/>
          <w:color w:val="000000"/>
          <w:sz w:val="22"/>
          <w:szCs w:val="22"/>
        </w:rPr>
        <w:t xml:space="preserve">primera noche</w:t>
      </w:r>
      <w:r>
        <w:rPr>
          <w:rFonts w:ascii="Arial" w:cs="Arial" w:eastAsia="Arial" w:hAnsi="Arial"/>
          <w:b w:val="false"/>
          <w:bCs w:val="false"/>
          <w:color w:val="000000"/>
          <w:sz w:val="22"/>
          <w:szCs w:val="22"/>
        </w:rPr>
        <w:t xml:space="preserv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pPr>
        <w:pStyle w:val="Heading2"/>
        <w:spacing w:after="160" w:before="360"/>
        <w:jc w:val="left"/>
      </w:pPr>
      <w:r>
        <w:rPr>
          <w:rFonts w:ascii="Arial" w:cs="Arial" w:eastAsia="Arial" w:hAnsi="Arial"/>
          <w:b/>
          <w:bCs/>
          <w:color w:val="1E3A5F"/>
          <w:sz w:val="28"/>
          <w:szCs w:val="28"/>
        </w:rPr>
        <w:t xml:space="preserve">3.3  Pipeline PAC_v2: arquitectura de procesamiento</w:t>
      </w:r>
    </w:p>
    <w:p>
      <w:pPr>
        <w:pStyle w:val="Heading3"/>
        <w:spacing w:after="120" w:before="280"/>
        <w:jc w:val="left"/>
      </w:pPr>
      <w:r>
        <w:rPr>
          <w:rFonts w:ascii="Arial" w:cs="Arial" w:eastAsia="Arial" w:hAnsi="Arial"/>
          <w:b/>
          <w:bCs/>
          <w:color w:val="1E3A5F"/>
          <w:sz w:val="24"/>
          <w:szCs w:val="24"/>
        </w:rPr>
        <w:t xml:space="preserve">3.3.1  Visión general</w:t>
      </w:r>
    </w:p>
    <w:p>
      <w:pPr>
        <w:spacing w:after="160" w:before="0" w:line="360"/>
        <w:jc w:val="both"/>
      </w:pPr>
      <w:r>
        <w:rPr>
          <w:rFonts w:ascii="Arial" w:cs="Arial" w:eastAsia="Arial" w:hAnsi="Arial"/>
          <w:b w:val="false"/>
          <w:bCs w:val="false"/>
          <w:color w:val="000000"/>
          <w:sz w:val="22"/>
          <w:szCs w:val="22"/>
        </w:rPr>
        <w:t xml:space="preserve">PAC_v2 (Phenotyping by Adaptive Clustering v2)</w:t>
      </w:r>
      <w:r>
        <w:rPr>
          <w:rFonts w:ascii="Arial" w:cs="Arial" w:eastAsia="Arial" w:hAnsi="Arial"/>
          <w:b w:val="false"/>
          <w:bCs w:val="false"/>
          <w:color w:val="000000"/>
          <w:sz w:val="22"/>
          <w:szCs w:val="22"/>
        </w:rPr>
        <w:t xml:space="preserve"> es el pipeline de procesamiento desarrollado </w:t>
      </w:r>
      <w:r>
        <w:rPr>
          <w:rFonts w:ascii="Arial" w:cs="Arial" w:eastAsia="Arial" w:hAnsi="Arial"/>
          <w:b w:val="false"/>
          <w:bCs w:val="false"/>
          <w:color w:val="000000"/>
          <w:sz w:val="22"/>
          <w:szCs w:val="22"/>
        </w:rPr>
        <w:t xml:space="preserve">ad hoc</w:t>
      </w:r>
      <w:r>
        <w:rPr>
          <w:rFonts w:ascii="Arial" w:cs="Arial" w:eastAsia="Arial" w:hAnsi="Arial"/>
          <w:b w:val="false"/>
          <w:bCs w:val="false"/>
          <w:color w:val="000000"/>
          <w:sz w:val="22"/>
          <w:szCs w:val="22"/>
        </w:rPr>
        <w:t xml:space="preserve"> para esta tesis. Su objetivo clínico es construir una caracterización dinámica y fenotípica del sueño a partir de señales de oximetría domiciliaria, superando los índices agregados clásicos del SAOS. El diseño sigue una arquitectura </w:t>
      </w:r>
      <w:r>
        <w:rPr>
          <w:rFonts w:ascii="Arial" w:cs="Arial" w:eastAsia="Arial" w:hAnsi="Arial"/>
          <w:b w:val="false"/>
          <w:bCs w:val="false"/>
          <w:color w:val="000000"/>
          <w:sz w:val="22"/>
          <w:szCs w:val="22"/>
        </w:rPr>
        <w:t xml:space="preserve">medallion</w:t>
      </w:r>
      <w:r>
        <w:rPr>
          <w:rFonts w:ascii="Arial" w:cs="Arial" w:eastAsia="Arial" w:hAnsi="Arial"/>
          <w:b w:val="false"/>
          <w:bCs w:val="false"/>
          <w:color w:val="000000"/>
          <w:sz w:val="22"/>
          <w:szCs w:val="22"/>
        </w:rPr>
        <w:t xml:space="preserve"> de cuatro capas de datos progresivamente enriquecidos:</w:t>
      </w:r>
    </w:p>
    <w:p>
      <w:pPr>
        <w:spacing w:after="160" w:before="160"/>
        <w:jc w:val="center"/>
      </w:pPr>
      <w:r>
        <w:rPr>
          <w:rFonts w:ascii="Arial" w:cs="Arial" w:eastAsia="Arial" w:hAnsi="Arial"/>
          <w:b/>
          <w:bCs/>
          <w:color w:val="1E3A5F"/>
          <w:sz w:val="22"/>
          <w:szCs w:val="22"/>
        </w:rPr>
        <w:t xml:space="preserve">Bronze  →  Silver  →  Events  →  Gold</w:t>
      </w:r>
    </w:p>
    <w:p>
      <w:pPr>
        <w:spacing w:after="160" w:before="0" w:line="360"/>
        <w:jc w:val="both"/>
      </w:pPr>
      <w:r>
        <w:rPr>
          <w:rFonts w:ascii="Arial" w:cs="Arial" w:eastAsia="Arial" w:hAnsi="Arial"/>
          <w:b w:val="false"/>
          <w:bCs w:val="false"/>
          <w:color w:val="000000"/>
          <w:sz w:val="22"/>
          <w:szCs w:val="22"/>
        </w:rPr>
        <w:t xml:space="preserve">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byte-idénticas en cualquier ejecución posterior. Los parámetros del sistema —umbrales de detección, ventanas temporales, hiperparámetros de clustering— están centralizados en un único módulo de configuración sin valores embebidos en los scripts de análisis.</w:t>
      </w:r>
    </w:p>
    <w:p>
      <w:pPr>
        <w:spacing w:after="160" w:before="0" w:line="360"/>
        <w:jc w:val="both"/>
      </w:pPr>
      <w:r>
        <w:rPr>
          <w:rFonts w:ascii="Arial" w:cs="Arial" w:eastAsia="Arial" w:hAnsi="Arial"/>
          <w:b w:val="false"/>
          <w:bCs w:val="false"/>
          <w:color w:val="000000"/>
          <w:sz w:val="22"/>
          <w:szCs w:val="22"/>
        </w:rPr>
        <w:t xml:space="preserve">Un orquestador incremental supervisa la consistencia entre capas: detecta automáticamente qué noches o etapas quedaron obsoletas ante cambios en </w:t>
      </w:r>
      <w:r>
        <w:rPr>
          <w:rFonts w:ascii="Arial" w:cs="Arial" w:eastAsia="Arial" w:hAnsi="Arial"/>
          <w:b w:val="false"/>
          <w:bCs w:val="false"/>
          <w:color w:val="000000"/>
          <w:sz w:val="22"/>
          <w:szCs w:val="22"/>
        </w:rPr>
        <w:t xml:space="preserve">inputs</w:t>
      </w:r>
      <w:r>
        <w:rPr>
          <w:rFonts w:ascii="Arial" w:cs="Arial" w:eastAsia="Arial" w:hAnsi="Arial"/>
          <w:b w:val="false"/>
          <w:bCs w:val="false"/>
          <w:color w:val="000000"/>
          <w:sz w:val="22"/>
          <w:szCs w:val="22"/>
        </w:rPr>
        <w:t xml:space="preserve">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pPr>
        <w:pStyle w:val="Heading3"/>
        <w:spacing w:after="120" w:before="280"/>
        <w:jc w:val="left"/>
      </w:pPr>
      <w:r>
        <w:rPr>
          <w:rFonts w:ascii="Arial" w:cs="Arial" w:eastAsia="Arial" w:hAnsi="Arial"/>
          <w:b/>
          <w:bCs/>
          <w:color w:val="1E3A5F"/>
          <w:sz w:val="24"/>
          <w:szCs w:val="24"/>
        </w:rPr>
        <w:t xml:space="preserve">3.3.2  Capa Bronze: ingesta y trazabilidad</w:t>
      </w:r>
    </w:p>
    <w:p>
      <w:pPr>
        <w:spacing w:after="160" w:before="0" w:line="360"/>
        <w:jc w:val="both"/>
      </w:pPr>
      <w:r>
        <w:rPr>
          <w:rFonts w:ascii="Arial" w:cs="Arial" w:eastAsia="Arial" w:hAnsi="Arial"/>
          <w:b w:val="false"/>
          <w:bCs w:val="false"/>
          <w:color w:val="000000"/>
          <w:sz w:val="22"/>
          <w:szCs w:val="22"/>
        </w:rPr>
        <w:t xml:space="preserve">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pPr>
        <w:spacing w:after="160" w:before="0" w:line="360"/>
        <w:jc w:val="both"/>
      </w:pPr>
      <w:r>
        <w:rPr>
          <w:rFonts w:ascii="Arial" w:cs="Arial" w:eastAsia="Arial" w:hAnsi="Arial"/>
          <w:b w:val="false"/>
          <w:bCs w:val="false"/>
          <w:color w:val="000000"/>
          <w:sz w:val="22"/>
          <w:szCs w:val="22"/>
        </w:rPr>
        <w:t xml:space="preserve">Un componente de auto-registro detecta participantes cuyo identificador no existe en el registro de pacientes y crea entradas </w:t>
      </w:r>
      <w:r>
        <w:rPr>
          <w:rFonts w:ascii="Arial" w:cs="Arial" w:eastAsia="Arial" w:hAnsi="Arial"/>
          <w:b w:val="false"/>
          <w:bCs w:val="false"/>
          <w:color w:val="000000"/>
          <w:sz w:val="22"/>
          <w:szCs w:val="22"/>
        </w:rPr>
        <w:t xml:space="preserve">stub</w:t>
      </w:r>
      <w:r>
        <w:rPr>
          <w:rFonts w:ascii="Arial" w:cs="Arial" w:eastAsia="Arial" w:hAnsi="Arial"/>
          <w:b w:val="false"/>
          <w:bCs w:val="false"/>
          <w:color w:val="000000"/>
          <w:sz w:val="22"/>
          <w:szCs w:val="22"/>
        </w:rPr>
        <w:t xml:space="preserve"> para permitir el procesamiento sin interrupción; el investigador completa los datos clínicos de forma manual </w:t>
      </w:r>
      <w:r>
        <w:rPr>
          <w:rFonts w:ascii="Arial" w:cs="Arial" w:eastAsia="Arial" w:hAnsi="Arial"/>
          <w:b w:val="false"/>
          <w:bCs w:val="false"/>
          <w:color w:val="000000"/>
          <w:sz w:val="22"/>
          <w:szCs w:val="22"/>
        </w:rPr>
        <w:t xml:space="preserve">a posteriori</w:t>
      </w:r>
      <w:r>
        <w:rPr>
          <w:rFonts w:ascii="Arial" w:cs="Arial" w:eastAsia="Arial" w:hAnsi="Arial"/>
          <w:b w:val="false"/>
          <w:bCs w:val="false"/>
          <w:color w:val="000000"/>
          <w:sz w:val="22"/>
          <w:szCs w:val="22"/>
        </w:rPr>
        <w:t xml:space="preserve">. La capa Bronze es la única que accede a los archivos originales; todas las etapas analíticas consumen exclusivamente los datos canónicas de las capas superiores. Los reportes de </w:t>
      </w:r>
      <w:r>
        <w:rPr>
          <w:rFonts w:ascii="Arial" w:cs="Arial" w:eastAsia="Arial" w:hAnsi="Arial"/>
          <w:b w:val="false"/>
          <w:bCs w:val="false"/>
          <w:color w:val="000000"/>
          <w:sz w:val="22"/>
          <w:szCs w:val="22"/>
        </w:rPr>
        <w:t xml:space="preserve">batch</w:t>
      </w:r>
      <w:r>
        <w:rPr>
          <w:rFonts w:ascii="Arial" w:cs="Arial" w:eastAsia="Arial" w:hAnsi="Arial"/>
          <w:b w:val="false"/>
          <w:bCs w:val="false"/>
          <w:color w:val="000000"/>
          <w:sz w:val="22"/>
          <w:szCs w:val="22"/>
        </w:rPr>
        <w:t xml:space="preserve"> documentan el resultado de cada corrida con distribuciones de duración y gaps de señal para auditoría.</w:t>
      </w:r>
    </w:p>
    <w:p>
      <w:pPr>
        <w:pStyle w:val="Heading3"/>
        <w:spacing w:after="120" w:before="280"/>
        <w:jc w:val="left"/>
      </w:pPr>
      <w:r>
        <w:rPr>
          <w:rFonts w:ascii="Arial" w:cs="Arial" w:eastAsia="Arial" w:hAnsi="Arial"/>
          <w:b/>
          <w:bCs/>
          <w:color w:val="1E3A5F"/>
          <w:sz w:val="24"/>
          <w:szCs w:val="24"/>
        </w:rPr>
        <w:t xml:space="preserve">3.3.3  Capa Silver: control de calidad de señal</w:t>
      </w:r>
    </w:p>
    <w:p>
      <w:pPr>
        <w:spacing w:after="160" w:before="0" w:line="360"/>
        <w:jc w:val="both"/>
      </w:pPr>
      <w:r>
        <w:rPr>
          <w:rFonts w:ascii="Arial" w:cs="Arial" w:eastAsia="Arial" w:hAnsi="Arial"/>
          <w:b w:val="false"/>
          <w:bCs w:val="false"/>
          <w:color w:val="000000"/>
          <w:sz w:val="22"/>
          <w:szCs w:val="22"/>
        </w:rPr>
        <w:t xml:space="preserve">Silver aplica control de calidad sobre las señales canónicas de Bronze sin excluir noches: su principio es marcar con flags los problemas detectados y dejar las decisiones de inclusión en la cohorte a la capa Gold. Se aplican cuatro familias de verificaciones:</w:t>
      </w:r>
    </w:p>
    <w:p>
      <w:pPr>
        <w:spacing w:after="160" w:before="0" w:line="360"/>
        <w:jc w:val="both"/>
      </w:pPr>
      <w:r>
        <w:rPr>
          <w:rFonts w:ascii="Arial" w:cs="Arial" w:eastAsia="Arial" w:hAnsi="Arial"/>
          <w:b/>
          <w:bCs/>
          <w:color w:val="000000"/>
          <w:sz w:val="22"/>
          <w:szCs w:val="22"/>
        </w:rPr>
        <w:t xml:space="preserve">Rango fisiológico</w:t>
      </w:r>
      <w:r>
        <w:rPr>
          <w:rFonts w:ascii="Arial" w:cs="Arial" w:eastAsia="Arial" w:hAnsi="Arial"/>
          <w:b w:val="false"/>
          <w:bCs w:val="false"/>
          <w:color w:val="000000"/>
          <w:sz w:val="22"/>
          <w:szCs w:val="22"/>
        </w:rPr>
        <w:t xml:space="preserve">: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pPr>
        <w:spacing w:after="160" w:before="0" w:line="360"/>
        <w:jc w:val="both"/>
      </w:pPr>
      <w:r>
        <w:rPr>
          <w:rFonts w:ascii="Arial" w:cs="Arial" w:eastAsia="Arial" w:hAnsi="Arial"/>
          <w:b/>
          <w:bCs/>
          <w:color w:val="000000"/>
          <w:sz w:val="22"/>
          <w:szCs w:val="22"/>
        </w:rPr>
        <w:t xml:space="preserve">Cobertura temporal</w:t>
      </w:r>
      <w:r>
        <w:rPr>
          <w:rFonts w:ascii="Arial" w:cs="Arial" w:eastAsia="Arial" w:hAnsi="Arial"/>
          <w:b w:val="false"/>
          <w:bCs w:val="false"/>
          <w:color w:val="000000"/>
          <w:sz w:val="22"/>
          <w:szCs w:val="22"/>
        </w:rPr>
        <w:t xml:space="preserve">: se calcula el cociente entre muestras válidas y duración esperada (cobertura ≥ 90% como umbral de inclusión en la cohorte estricta) y el mayor salto temporal continuo (</w:t>
      </w:r>
      <w:r>
        <w:rPr>
          <w:rFonts w:ascii="Arial" w:cs="Arial" w:eastAsia="Arial" w:hAnsi="Arial"/>
          <w:b w:val="false"/>
          <w:bCs w:val="false"/>
          <w:color w:val="000000"/>
          <w:sz w:val="22"/>
          <w:szCs w:val="22"/>
        </w:rPr>
        <w:t xml:space="preserve">max_contiguous_gap_s</w:t>
      </w:r>
      <w:r>
        <w:rPr>
          <w:rFonts w:ascii="Arial" w:cs="Arial" w:eastAsia="Arial" w:hAnsi="Arial"/>
          <w:b w:val="false"/>
          <w:bCs w:val="false"/>
          <w:color w:val="000000"/>
          <w:sz w:val="22"/>
          <w:szCs w:val="22"/>
        </w:rPr>
        <w:t xml:space="preserve">; umbral operacional: 1800 s = 30 min). Un gap largo es cualitativamente distinto de muchos gaps pequeños, razón por la que ambas métricas se calculan de forma independiente.</w:t>
      </w:r>
    </w:p>
    <w:p>
      <w:pPr>
        <w:spacing w:after="160" w:before="0" w:line="360"/>
        <w:jc w:val="both"/>
      </w:pPr>
      <w:r>
        <w:rPr>
          <w:rFonts w:ascii="Arial" w:cs="Arial" w:eastAsia="Arial" w:hAnsi="Arial"/>
          <w:b/>
          <w:bCs/>
          <w:color w:val="000000"/>
          <w:sz w:val="22"/>
          <w:szCs w:val="22"/>
        </w:rPr>
        <w:t xml:space="preserve">Duración mínima</w:t>
      </w:r>
      <w:r>
        <w:rPr>
          <w:rFonts w:ascii="Arial" w:cs="Arial" w:eastAsia="Arial" w:hAnsi="Arial"/>
          <w:b w:val="false"/>
          <w:bCs w:val="false"/>
          <w:color w:val="000000"/>
          <w:sz w:val="22"/>
          <w:szCs w:val="22"/>
        </w:rPr>
        <w:t xml:space="preserve">: se generan dos flags ordenados por inclusión (relación de subconjunto): noches abortadas (&lt; 1 h) ⊆ noches cortas (&lt; 3 h). Las noches abortadas presentan típicamente señales inestables por falta de tiempo de estabilización del sensor.</w:t>
      </w:r>
    </w:p>
    <w:p>
      <w:pPr>
        <w:spacing w:after="160" w:before="0" w:line="360"/>
        <w:jc w:val="both"/>
      </w:pPr>
      <w:r>
        <w:rPr>
          <w:rFonts w:ascii="Arial" w:cs="Arial" w:eastAsia="Arial" w:hAnsi="Arial"/>
          <w:b w:val="false"/>
          <w:bCs w:val="false"/>
          <w:color w:val="000000"/>
          <w:sz w:val="22"/>
          <w:szCs w:val="22"/>
        </w:rPr>
        <w:t xml:space="preserve">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pPr>
        <w:pStyle w:val="Heading3"/>
        <w:spacing w:after="120" w:before="280"/>
        <w:jc w:val="left"/>
      </w:pPr>
      <w:r>
        <w:rPr>
          <w:rFonts w:ascii="Arial" w:cs="Arial" w:eastAsia="Arial" w:hAnsi="Arial"/>
          <w:b/>
          <w:bCs/>
          <w:color w:val="1E3A5F"/>
          <w:sz w:val="24"/>
          <w:szCs w:val="24"/>
        </w:rPr>
        <w:t xml:space="preserve">3.3.4  Capa Events: detección y caracterización de EDOs</w:t>
      </w:r>
    </w:p>
    <w:p>
      <w:pPr>
        <w:spacing w:after="160" w:before="0" w:line="360"/>
        <w:jc w:val="both"/>
      </w:pPr>
      <w:r>
        <w:rPr>
          <w:rFonts w:ascii="Arial" w:cs="Arial" w:eastAsia="Arial" w:hAnsi="Arial"/>
          <w:b w:val="false"/>
          <w:bCs w:val="false"/>
          <w:color w:val="000000"/>
          <w:sz w:val="22"/>
          <w:szCs w:val="22"/>
        </w:rPr>
        <w:t xml:space="preserve">La capa Events produce el corpus de Eventos de Desaturación de Oxígeno (EDOs), unidad de análisis central de la tesis. La detección opera en tres pasos sobre la señal spo2_clean (QC-validada de Silver):</w:t>
      </w:r>
    </w:p>
    <w:p>
      <w:pPr>
        <w:spacing w:after="160" w:before="0" w:line="360"/>
        <w:jc w:val="both"/>
      </w:pPr>
      <w:r>
        <w:rPr>
          <w:rFonts w:ascii="Arial" w:cs="Arial" w:eastAsia="Arial" w:hAnsi="Arial"/>
          <w:b/>
          <w:bCs/>
          <w:color w:val="000000"/>
          <w:sz w:val="22"/>
          <w:szCs w:val="22"/>
        </w:rPr>
        <w:t xml:space="preserve">Baseline móvil</w:t>
      </w:r>
      <w:r>
        <w:rPr>
          <w:rFonts w:ascii="Arial" w:cs="Arial" w:eastAsia="Arial" w:hAnsi="Arial"/>
          <w:b w:val="false"/>
          <w:bCs w:val="false"/>
          <w:color w:val="000000"/>
          <w:sz w:val="22"/>
          <w:szCs w:val="22"/>
        </w:rPr>
        <w:t xml:space="preserve">: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pPr>
        <w:spacing w:after="160" w:before="0" w:line="360"/>
        <w:jc w:val="both"/>
      </w:pPr>
      <w:r>
        <w:rPr>
          <w:rFonts w:ascii="Arial" w:cs="Arial" w:eastAsia="Arial" w:hAnsi="Arial"/>
          <w:b/>
          <w:bCs/>
          <w:color w:val="000000"/>
          <w:sz w:val="22"/>
          <w:szCs w:val="22"/>
        </w:rPr>
        <w:t xml:space="preserve">Detección de candidatos</w:t>
      </w:r>
      <w:r>
        <w:rPr>
          <w:rFonts w:ascii="Arial" w:cs="Arial" w:eastAsia="Arial" w:hAnsi="Arial"/>
          <w:b w:val="false"/>
          <w:bCs w:val="false"/>
          <w:color w:val="000000"/>
          <w:sz w:val="22"/>
          <w:szCs w:val="22"/>
        </w:rPr>
        <w:t xml:space="preserve">: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pPr>
        <w:spacing w:after="160" w:before="0" w:line="360"/>
        <w:jc w:val="both"/>
      </w:pPr>
      <w:r>
        <w:rPr>
          <w:rFonts w:ascii="Arial" w:cs="Arial" w:eastAsia="Arial" w:hAnsi="Arial"/>
          <w:b/>
          <w:bCs/>
          <w:color w:val="000000"/>
          <w:sz w:val="22"/>
          <w:szCs w:val="22"/>
        </w:rPr>
        <w:t xml:space="preserve">Caracterización geométrica</w:t>
      </w:r>
      <w:r>
        <w:rPr>
          <w:rFonts w:ascii="Arial" w:cs="Arial" w:eastAsia="Arial" w:hAnsi="Arial"/>
          <w:b w:val="false"/>
          <w:bCs w:val="false"/>
          <w:color w:val="000000"/>
          <w:sz w:val="22"/>
          <w:szCs w:val="22"/>
        </w:rPr>
        <w:t xml:space="preserve">: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pPr>
        <w:spacing w:after="160" w:before="0" w:line="360"/>
        <w:jc w:val="both"/>
      </w:pPr>
      <w:r>
        <w:rPr>
          <w:rFonts w:ascii="Arial" w:cs="Arial" w:eastAsia="Arial" w:hAnsi="Arial"/>
          <w:b w:val="false"/>
          <w:bCs w:val="false"/>
          <w:color w:val="000000"/>
          <w:sz w:val="22"/>
          <w:szCs w:val="22"/>
        </w:rPr>
        <w:t xml:space="preserve">La validación cuantitativa del pipeline se realiza comparando los índices calculados por PAC_v2 contra los índices pre-computados por el firmware del dispositivo, disponibles en el sidecar </w:t>
      </w:r>
      <w:r>
        <w:rPr>
          <w:rFonts w:ascii="Arial" w:cs="Arial" w:eastAsia="Arial" w:hAnsi="Arial"/>
          <w:b w:val="false"/>
          <w:bCs w:val="false"/>
          <w:color w:val="000000"/>
          <w:sz w:val="22"/>
          <w:szCs w:val="22"/>
        </w:rPr>
        <w:t xml:space="preserve">classical</w:t>
      </w:r>
      <w:r>
        <w:rPr>
          <w:rFonts w:ascii="Arial" w:cs="Arial" w:eastAsia="Arial" w:hAnsi="Arial"/>
          <w:b w:val="false"/>
          <w:bCs w:val="false"/>
          <w:color w:val="000000"/>
          <w:sz w:val="22"/>
          <w:szCs w:val="22"/>
        </w:rPr>
        <w:t xml:space="preserve"> de Bronze. Para 11 índices con contrapartida en el firmware, se calcula un quinteto de validación: valor PAC_v2, valor del dispositivo, diferencia absoluta, diferencia relativa y flag de divergencia (|diff_rel| &gt; 20%). Esta comparación sistemática establece el 'calibrado' analítico del pipeline y sus resultados se reportan en el Capítulo 4.</w:t>
      </w:r>
    </w:p>
    <w:p>
      <w:pPr>
        <w:pStyle w:val="Heading3"/>
        <w:spacing w:after="120" w:before="280"/>
        <w:jc w:val="left"/>
      </w:pPr>
      <w:r>
        <w:rPr>
          <w:rFonts w:ascii="Arial" w:cs="Arial" w:eastAsia="Arial" w:hAnsi="Arial"/>
          <w:b/>
          <w:bCs/>
          <w:color w:val="1E3A5F"/>
          <w:sz w:val="24"/>
          <w:szCs w:val="24"/>
        </w:rPr>
        <w:t xml:space="preserve">3.3.5  Índice de Respuesta Autonómica (ARI) por evento</w:t>
      </w:r>
    </w:p>
    <w:p>
      <w:pPr>
        <w:spacing w:after="160" w:before="0" w:line="360"/>
        <w:jc w:val="both"/>
      </w:pPr>
      <w:r>
        <w:rPr>
          <w:rFonts w:ascii="Arial" w:cs="Arial" w:eastAsia="Arial" w:hAnsi="Arial"/>
          <w:b w:val="false"/>
          <w:bCs w:val="false"/>
          <w:color w:val="000000"/>
          <w:sz w:val="22"/>
          <w:szCs w:val="22"/>
        </w:rPr>
        <w:t xml:space="preserve">La capa Events calcula el Índice de Respuesta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w:t>
      </w:r>
      <w:r>
        <w:rPr>
          <w:rFonts w:ascii="Arial" w:cs="Arial" w:eastAsia="Arial" w:hAnsi="Arial"/>
          <w:b w:val="false"/>
          <w:bCs w:val="false"/>
          <w:color w:val="000000"/>
          <w:sz w:val="22"/>
          <w:szCs w:val="22"/>
        </w:rPr>
        <w:t xml:space="preserve">ganancia autonómica</w:t>
      </w:r>
      <w:r>
        <w:rPr>
          <w:rFonts w:ascii="Arial" w:cs="Arial" w:eastAsia="Arial" w:hAnsi="Arial"/>
          <w:b w:val="false"/>
          <w:bCs w:val="false"/>
          <w:color w:val="000000"/>
          <w:sz w:val="22"/>
          <w:szCs w:val="22"/>
        </w:rPr>
        <w:t xml:space="preserve"> de cada evento con independencia de su profundidad. Su fórmula canónica (publicada en T1):</w:t>
      </w:r>
    </w:p>
    <w:p>
      <w:pPr>
        <w:spacing w:after="80" w:before="160"/>
        <w:jc w:val="center"/>
      </w:pPr>
      <w:r>
        <w:rPr>
          <w:rFonts w:ascii="Arial" w:cs="Arial" w:eastAsia="Arial" w:hAnsi="Arial"/>
          <w:sz w:val="22"/>
          <w:szCs w:val="22"/>
        </w:rPr>
        <w:t xml:space="preserve">ARIᵢ  =  0,6 · P(hr_gainᵢ)  +  0,4 · P(mov_gainᵢ)</w:t>
      </w:r>
    </w:p>
    <w:p>
      <w:pPr>
        <w:spacing w:after="0" w:before="40"/>
        <w:ind w:left="720"/>
        <w:jc w:val="left"/>
      </w:pPr>
      <w:r>
        <w:rPr>
          <w:rFonts w:ascii="Courier New" w:cs="Courier New" w:eastAsia="Courier New" w:hAnsi="Courier New"/>
          <w:sz w:val="20"/>
          <w:szCs w:val="20"/>
        </w:rPr>
        <w:t xml:space="preserve">hr_gainᵢ = Δhr_bpmᵢ / drop_pctᵢ</w:t>
      </w:r>
      <w:r>
        <w:rPr>
          <w:rFonts w:ascii="Arial" w:cs="Arial" w:eastAsia="Arial" w:hAnsi="Arial"/>
          <w:sz w:val="20"/>
          <w:szCs w:val="20"/>
        </w:rPr>
        <w:t xml:space="preserve">   (incremento de FC en lpm dividido por la profundidad de caída de SpO₂ en pp)</w:t>
      </w:r>
    </w:p>
    <w:p>
      <w:pPr>
        <w:spacing w:after="0" w:before="0"/>
        <w:ind w:left="720"/>
        <w:jc w:val="left"/>
      </w:pPr>
      <w:r>
        <w:rPr>
          <w:rFonts w:ascii="Courier New" w:cs="Courier New" w:eastAsia="Courier New" w:hAnsi="Courier New"/>
          <w:sz w:val="20"/>
          <w:szCs w:val="20"/>
        </w:rPr>
        <w:t xml:space="preserve">mov_gainᵢ = (peak_movᵢ − baseline_movᵢ) / drop_pctᵢ</w:t>
      </w:r>
      <w:r>
        <w:rPr>
          <w:rFonts w:ascii="Arial" w:cs="Arial" w:eastAsia="Arial" w:hAnsi="Arial"/>
          <w:sz w:val="20"/>
          <w:szCs w:val="20"/>
        </w:rPr>
        <w:t xml:space="preserve">   (incremento de MOV relativo a la caída de SpO₂)</w:t>
      </w:r>
    </w:p>
    <w:p>
      <w:pPr>
        <w:spacing w:after="160" w:before="0"/>
        <w:ind w:left="720"/>
        <w:jc w:val="left"/>
      </w:pPr>
      <w:r>
        <w:rPr>
          <w:rFonts w:ascii="Courier New" w:cs="Courier New" w:eastAsia="Courier New" w:hAnsi="Courier New"/>
          <w:sz w:val="20"/>
          <w:szCs w:val="20"/>
        </w:rPr>
        <w:t xml:space="preserve">P(·) = rankdata / N</w:t>
      </w:r>
      <w:r>
        <w:rPr>
          <w:rFonts w:ascii="Arial" w:cs="Arial" w:eastAsia="Arial" w:hAnsi="Arial"/>
          <w:sz w:val="20"/>
          <w:szCs w:val="20"/>
        </w:rPr>
        <w:t xml:space="preserve">   (rango percentil en el corpus; N = 85.277 EDOs quality)</w:t>
      </w:r>
    </w:p>
    <w:p>
      <w:pPr>
        <w:spacing w:after="160" w:before="0" w:line="360"/>
        <w:jc w:val="both"/>
      </w:pPr>
      <w:r>
        <w:rPr>
          <w:rFonts w:ascii="Arial" w:cs="Arial" w:eastAsia="Arial" w:hAnsi="Arial"/>
          <w:b w:val="false"/>
          <w:bCs w:val="false"/>
          <w:color w:val="000000"/>
          <w:sz w:val="22"/>
          <w:szCs w:val="22"/>
        </w:rPr>
        <w:t xml:space="preserve">La transformación a percentiles P(·) hace el índice adimensional y robusto a diferencias de escala entre señales. Los pesos 0,6/0,4 reflejan la mayor confiabilidad de la señal cardíaca derivada de PPG frente al sensor de movimiento. El ARI nocturno se define como la mediana del ARI por evento de todos los EDOs de la noche y opera como indicador del nivel de respuesta autonómica global del paciente en esa noche.</w:t>
      </w:r>
    </w:p>
    <w:p>
      <w:pPr>
        <w:pStyle w:val="Heading3"/>
        <w:spacing w:after="120" w:before="280"/>
        <w:jc w:val="left"/>
      </w:pPr>
      <w:r>
        <w:rPr>
          <w:rFonts w:ascii="Arial" w:cs="Arial" w:eastAsia="Arial" w:hAnsi="Arial"/>
          <w:b/>
          <w:bCs/>
          <w:color w:val="1E3A5F"/>
          <w:sz w:val="24"/>
          <w:szCs w:val="24"/>
        </w:rPr>
        <w:t xml:space="preserve">3.3.6  Capa Gold: consolidación analítica</w:t>
      </w:r>
    </w:p>
    <w:p>
      <w:pPr>
        <w:spacing w:after="160" w:before="0" w:line="360"/>
        <w:jc w:val="both"/>
      </w:pPr>
      <w:r>
        <w:rPr>
          <w:rFonts w:ascii="Arial" w:cs="Arial" w:eastAsia="Arial" w:hAnsi="Arial"/>
          <w:b w:val="false"/>
          <w:bCs w:val="false"/>
          <w:color w:val="000000"/>
          <w:sz w:val="22"/>
          <w:szCs w:val="22"/>
        </w:rPr>
        <w:t xml:space="preserve">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pPr>
        <w:spacing w:after="160" w:before="0" w:line="360"/>
        <w:jc w:val="both"/>
      </w:pPr>
      <w:r>
        <w:rPr>
          <w:rFonts w:ascii="Arial" w:cs="Arial" w:eastAsia="Arial" w:hAnsi="Arial"/>
          <w:b/>
          <w:bCs/>
          <w:color w:val="000000"/>
          <w:sz w:val="22"/>
          <w:szCs w:val="22"/>
        </w:rPr>
        <w:t xml:space="preserve">events.parquet</w:t>
      </w:r>
      <w:r>
        <w:rPr>
          <w:rFonts w:ascii="Arial" w:cs="Arial" w:eastAsia="Arial" w:hAnsi="Arial"/>
          <w:b w:val="false"/>
          <w:bCs w:val="false"/>
          <w:color w:val="000000"/>
          <w:sz w:val="22"/>
          <w:szCs w:val="22"/>
        </w:rPr>
        <w:t xml:space="preserve">: una fila por EDO (85.277 filas), con las 25+ features morfológicas, morfotipo asignado, flags de cohorte y trazabilidad de modelo. Tabla de entrada para los análisis de Nivel 1 (evento).</w:t>
      </w:r>
    </w:p>
    <w:p>
      <w:pPr>
        <w:spacing w:after="160" w:before="0" w:line="360"/>
        <w:jc w:val="both"/>
      </w:pPr>
      <w:r>
        <w:rPr>
          <w:rFonts w:ascii="Arial" w:cs="Arial" w:eastAsia="Arial" w:hAnsi="Arial"/>
          <w:b/>
          <w:bCs/>
          <w:color w:val="000000"/>
          <w:sz w:val="22"/>
          <w:szCs w:val="22"/>
        </w:rPr>
        <w:t xml:space="preserve">events_curves.parquet</w:t>
      </w:r>
      <w:r>
        <w:rPr>
          <w:rFonts w:ascii="Arial" w:cs="Arial" w:eastAsia="Arial" w:hAnsi="Arial"/>
          <w:b w:val="false"/>
          <w:bCs w:val="false"/>
          <w:color w:val="000000"/>
          <w:sz w:val="22"/>
          <w:szCs w:val="22"/>
        </w:rPr>
        <w:t xml:space="preserve">: complementa la tabla anterior con las 30 columnas de serie temporal normalizada de SpO₂ por evento (curve_p00 a curve_p29). Se mantiene separada para no inflar el tamaño de events.parquet.</w:t>
      </w:r>
    </w:p>
    <w:p>
      <w:pPr>
        <w:spacing w:after="160" w:before="0" w:line="360"/>
        <w:jc w:val="both"/>
      </w:pPr>
      <w:r>
        <w:rPr>
          <w:rFonts w:ascii="Arial" w:cs="Arial" w:eastAsia="Arial" w:hAnsi="Arial"/>
          <w:b/>
          <w:bCs/>
          <w:color w:val="000000"/>
          <w:sz w:val="22"/>
          <w:szCs w:val="22"/>
        </w:rPr>
        <w:t xml:space="preserve">states.parquet</w:t>
      </w:r>
      <w:r>
        <w:rPr>
          <w:rFonts w:ascii="Arial" w:cs="Arial" w:eastAsia="Arial" w:hAnsi="Arial"/>
          <w:b w:val="false"/>
          <w:bCs w:val="false"/>
          <w:color w:val="000000"/>
          <w:sz w:val="22"/>
          <w:szCs w:val="22"/>
        </w:rPr>
        <w:t xml:space="preserve">: una fila por ventana temporal con etiquetas de estado PAC a las tres escalas y un subconjunto de las 24 features de ventana. Tabla de entrada para los análisis de cadenas de Markov y trayectorias nocturnas.</w:t>
      </w:r>
    </w:p>
    <w:p>
      <w:pPr>
        <w:spacing w:after="160" w:before="0" w:line="360"/>
        <w:jc w:val="both"/>
      </w:pPr>
      <w:r>
        <w:rPr>
          <w:rFonts w:ascii="Arial" w:cs="Arial" w:eastAsia="Arial" w:hAnsi="Arial"/>
          <w:b/>
          <w:bCs/>
          <w:color w:val="000000"/>
          <w:sz w:val="22"/>
          <w:szCs w:val="22"/>
        </w:rPr>
        <w:t xml:space="preserve">nights.parquet</w:t>
      </w:r>
      <w:r>
        <w:rPr>
          <w:rFonts w:ascii="Arial" w:cs="Arial" w:eastAsia="Arial" w:hAnsi="Arial"/>
          <w:b w:val="false"/>
          <w:bCs w:val="false"/>
          <w:color w:val="000000"/>
          <w:sz w:val="22"/>
          <w:szCs w:val="22"/>
        </w:rPr>
        <w:t xml:space="preserve">: una fila por noche (560 filas) con 146 features derivadas de todas las etapas previas, organizadas en cuatro bloques temáticos: índices clínicos convencionales, features morfológicas agregadas por morfotipo, features de PAC States (fracciones, entropías, transiciones), y estadísticas de señal cruda. Tabla de entrada primaria para los modelos predictivos de Nivel 3.</w:t>
      </w:r>
    </w:p>
    <w:p>
      <w:pPr>
        <w:spacing w:after="160" w:before="0" w:line="360"/>
        <w:jc w:val="both"/>
      </w:pPr>
      <w:r>
        <w:rPr>
          <w:rFonts w:ascii="Arial" w:cs="Arial" w:eastAsia="Arial" w:hAnsi="Arial"/>
          <w:b/>
          <w:bCs/>
          <w:color w:val="000000"/>
          <w:sz w:val="22"/>
          <w:szCs w:val="22"/>
        </w:rPr>
        <w:t xml:space="preserve">patients.parquet</w:t>
      </w:r>
      <w:r>
        <w:rPr>
          <w:rFonts w:ascii="Arial" w:cs="Arial" w:eastAsia="Arial" w:hAnsi="Arial"/>
          <w:b w:val="false"/>
          <w:bCs w:val="false"/>
          <w:color w:val="000000"/>
          <w:sz w:val="22"/>
          <w:szCs w:val="22"/>
        </w:rPr>
        <w:t xml:space="preserve">: una fila por paciente (12 filas) con estadísticas del perfil longitudinal de cada individuo (medias, desvíos, percentiles de métricas nocturnas). Tabla de entrada para el análisis de fenotipos a nivel de paciente.</w:t>
      </w:r>
    </w:p>
    <w:p>
      <w:pPr>
        <w:pStyle w:val="Heading2"/>
        <w:spacing w:after="160" w:before="360"/>
        <w:jc w:val="left"/>
      </w:pPr>
      <w:r>
        <w:rPr>
          <w:rFonts w:ascii="Arial" w:cs="Arial" w:eastAsia="Arial" w:hAnsi="Arial"/>
          <w:b/>
          <w:bCs/>
          <w:color w:val="1E3A5F"/>
          <w:sz w:val="28"/>
          <w:szCs w:val="28"/>
        </w:rPr>
        <w:t xml:space="preserve">3.4  Fenotipado morfológico de eventos (Nivel 1 — Evento)</w:t>
      </w:r>
    </w:p>
    <w:p>
      <w:pPr>
        <w:spacing w:after="160" w:before="0" w:line="360"/>
        <w:jc w:val="both"/>
      </w:pPr>
      <w:r>
        <w:rPr>
          <w:rFonts w:ascii="Arial" w:cs="Arial" w:eastAsia="Arial" w:hAnsi="Arial"/>
          <w:b w:val="false"/>
          <w:bCs w:val="false"/>
          <w:color w:val="000000"/>
          <w:sz w:val="22"/>
          <w:szCs w:val="22"/>
        </w:rPr>
        <w:t xml:space="preserve">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pPr>
        <w:pStyle w:val="Heading3"/>
        <w:spacing w:after="120" w:before="280"/>
        <w:jc w:val="left"/>
      </w:pPr>
      <w:r>
        <w:rPr>
          <w:rFonts w:ascii="Arial" w:cs="Arial" w:eastAsia="Arial" w:hAnsi="Arial"/>
          <w:b/>
          <w:bCs/>
          <w:color w:val="1E3A5F"/>
          <w:sz w:val="24"/>
          <w:szCs w:val="24"/>
        </w:rPr>
        <w:t xml:space="preserve">3.4.1  Representación morfológica y reducción dimensional</w:t>
      </w:r>
    </w:p>
    <w:p>
      <w:pPr>
        <w:spacing w:after="160" w:before="0" w:line="360"/>
        <w:jc w:val="both"/>
      </w:pPr>
      <w:r>
        <w:rPr>
          <w:rFonts w:ascii="Arial" w:cs="Arial" w:eastAsia="Arial" w:hAnsi="Arial"/>
          <w:b w:val="false"/>
          <w:bCs w:val="false"/>
          <w:color w:val="000000"/>
          <w:sz w:val="22"/>
          <w:szCs w:val="22"/>
        </w:rPr>
        <w:t xml:space="preserve">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pPr>
        <w:spacing w:after="160" w:before="0" w:line="360"/>
        <w:jc w:val="both"/>
      </w:pPr>
      <w:r>
        <w:rPr>
          <w:rFonts w:ascii="Arial" w:cs="Arial" w:eastAsia="Arial" w:hAnsi="Arial"/>
          <w:b w:val="false"/>
          <w:bCs w:val="false"/>
          <w:color w:val="000000"/>
          <w:sz w:val="22"/>
          <w:szCs w:val="22"/>
        </w:rPr>
        <w:t xml:space="preserve">Sobre las 85.277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confirma que la morfología de los EDOs no es aleatoria sino que se organiza en ejes fisiológicos interpretables.</w:t>
      </w:r>
    </w:p>
    <w:p>
      <w:pPr>
        <w:pStyle w:val="Heading3"/>
        <w:spacing w:after="120" w:before="280"/>
        <w:jc w:val="left"/>
      </w:pPr>
      <w:r>
        <w:rPr>
          <w:rFonts w:ascii="Arial" w:cs="Arial" w:eastAsia="Arial" w:hAnsi="Arial"/>
          <w:b/>
          <w:bCs/>
          <w:color w:val="1E3A5F"/>
          <w:sz w:val="24"/>
          <w:szCs w:val="24"/>
        </w:rPr>
        <w:t xml:space="preserve">3.4.2  Clustering y morfotipos C1–C5</w:t>
      </w:r>
    </w:p>
    <w:p>
      <w:pPr>
        <w:spacing w:after="160" w:before="0" w:line="360"/>
        <w:jc w:val="both"/>
      </w:pPr>
      <w:r>
        <w:rPr>
          <w:rFonts w:ascii="Arial" w:cs="Arial" w:eastAsia="Arial" w:hAnsi="Arial"/>
          <w:b w:val="false"/>
          <w:bCs w:val="false"/>
          <w:color w:val="000000"/>
          <w:sz w:val="22"/>
          <w:szCs w:val="22"/>
        </w:rPr>
        <w:t xml:space="preserve">Sobre el espacio reducido por PCA se aplica K-means (MacQueen, 1967) con K seleccionado mediante el criterio del codo y la métrica de Silhouette,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pPr>
        <w:spacing w:after="160" w:before="0" w:line="360"/>
        <w:jc w:val="both"/>
      </w:pPr>
      <w:r>
        <w:rPr>
          <w:rFonts w:ascii="Arial" w:cs="Arial" w:eastAsia="Arial" w:hAnsi="Arial"/>
          <w:b w:val="false"/>
          <w:bCs w:val="false"/>
          <w:color w:val="000000"/>
          <w:sz w:val="22"/>
          <w:szCs w:val="22"/>
        </w:rPr>
        <w:t xml:space="preserve">Los perfiles C1–C5 difieren en profundidad de nadir, posición temporal del nadir y velocidad de recuperación, representando el espectro completo de la morfología de los EDOs: desde eventos subcríticos leves con impacto sistémico mínimo (C1) hasta desaturaciones severas prolongadas con respuesta autonómica paradójicamente baja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Mae, 2016].</w:t>
      </w:r>
    </w:p>
    <w:p>
      <w:pPr>
        <w:pStyle w:val="Heading3"/>
        <w:spacing w:after="120" w:before="280"/>
        <w:jc w:val="left"/>
      </w:pPr>
      <w:r>
        <w:rPr>
          <w:rFonts w:ascii="Arial" w:cs="Arial" w:eastAsia="Arial" w:hAnsi="Arial"/>
          <w:b/>
          <w:bCs/>
          <w:color w:val="1E3A5F"/>
          <w:sz w:val="24"/>
          <w:szCs w:val="24"/>
        </w:rPr>
        <w:t xml:space="preserve">3.4.3  Índice de Respuesta Autonómica (ARI)</w:t>
      </w:r>
    </w:p>
    <w:p>
      <w:pPr>
        <w:spacing w:after="160" w:before="0" w:line="360"/>
        <w:jc w:val="both"/>
      </w:pPr>
      <w:r>
        <w:rPr>
          <w:rFonts w:ascii="Arial" w:cs="Arial" w:eastAsia="Arial" w:hAnsi="Arial"/>
          <w:b w:val="false"/>
          <w:bCs w:val="false"/>
          <w:color w:val="000000"/>
          <w:sz w:val="22"/>
          <w:szCs w:val="22"/>
        </w:rPr>
        <w:t xml:space="preserve">Como dimensión analítica complementaria a la severidad morfológica, se define el Índice de Respuesta Autonómica (ARI), que busca cuantificar la ganancia autonómica de cada evento de desaturación: cuánta respuesta fisiológica cardíaca y motora genera el organismo por unidad de estímulo hipóxico, con independencia de cuán profunda sea la caída de SpO₂. El ARI es un índice adimensional calculado como combinación ponderada de dos componentes de respuesta, transformados a percentiles P(·) dentro del corpus completo de EDOs:</w:t>
      </w:r>
    </w:p>
    <w:p>
      <w:pPr>
        <w:spacing w:after="80" w:before="160"/>
        <w:jc w:val="center"/>
      </w:pPr>
      <w:r>
        <w:rPr>
          <w:rFonts w:ascii="Arial" w:cs="Arial" w:eastAsia="Arial" w:hAnsi="Arial"/>
          <w:sz w:val="22"/>
          <w:szCs w:val="22"/>
        </w:rPr>
        <w:t xml:space="preserve">ARIᵢ  =  0,6 · P(hr_gainᵢ)  +  0,4 · P(mov_gainᵢ)</w:t>
      </w:r>
    </w:p>
    <w:p>
      <w:pPr>
        <w:spacing w:after="40" w:before="0"/>
        <w:ind w:left="720"/>
        <w:jc w:val="center"/>
      </w:pPr>
      <w:r>
        <w:rPr>
          <w:rFonts w:ascii="Arial" w:cs="Arial" w:eastAsia="Arial" w:hAnsi="Arial"/>
          <w:color w:val="444444"/>
          <w:sz w:val="20"/>
          <w:szCs w:val="20"/>
        </w:rPr>
        <w:t xml:space="preserve">hr_gainᵢ   =  Δhr_bpm_i / drop_pct_i</w:t>
      </w:r>
    </w:p>
    <w:p>
      <w:pPr>
        <w:spacing w:after="40" w:before="0"/>
        <w:ind w:left="720"/>
        <w:jc w:val="center"/>
      </w:pPr>
      <w:r>
        <w:rPr>
          <w:rFonts w:ascii="Arial" w:cs="Arial" w:eastAsia="Arial" w:hAnsi="Arial"/>
          <w:color w:val="444444"/>
          <w:sz w:val="20"/>
          <w:szCs w:val="20"/>
        </w:rPr>
        <w:t xml:space="preserve">mov_gainᵢ  =  (peak_mov_i − baseline_mov_i) / drop_pct_i</w:t>
      </w:r>
    </w:p>
    <w:p>
      <w:pPr>
        <w:spacing w:after="160" w:before="0"/>
        <w:ind w:left="720"/>
        <w:jc w:val="center"/>
      </w:pPr>
      <w:r>
        <w:rPr>
          <w:rFonts w:ascii="Arial" w:cs="Arial" w:eastAsia="Arial" w:hAnsi="Arial"/>
          <w:color w:val="444444"/>
          <w:sz w:val="20"/>
          <w:szCs w:val="20"/>
        </w:rPr>
        <w:t xml:space="preserve">P(·)       =  rankdata(·) / N      [N = 85.277 EDOs quality]</w:t>
      </w:r>
    </w:p>
    <w:p>
      <w:pPr>
        <w:spacing w:after="160" w:before="0" w:line="360"/>
        <w:jc w:val="both"/>
      </w:pPr>
      <w:r>
        <w:rPr>
          <w:rFonts w:ascii="Arial" w:cs="Arial" w:eastAsia="Arial" w:hAnsi="Arial"/>
          <w:b w:val="false"/>
          <w:bCs w:val="false"/>
          <w:color w:val="000000"/>
          <w:sz w:val="22"/>
          <w:szCs w:val="22"/>
        </w:rPr>
        <w:t xml:space="preserve">Donde hr_gain mide el incremento de frecuencia cardíaca (en lpm) normalizado por la profundidad de caída de SpO₂ (en puntos porcentuales), y mov_gain mide el incremento de la señal de movimiento relativo a la misma caída. Los pesos 0,6 / 0,4 reflejan la mayor confiabilidad de la señal cardíaca (PPG) frente al sensor de movimiento. La transformación a percentiles P(·) hace el índice robusto a diferencias de escala entre señales y elimina la influencia del nivel basal absoluto de FC entre pacientes. El ARI nocturno se define como la mediana del ARI por evento a lo largo de la noche. El ARI es conceptualmente ortogonal a la severidad hipóxica: un valor alto indica una respuesta autonómica eficiente ante el estímulo, mientras que un valor bajo podría indicar respuesta atenuada —por adaptación crónica a hipoxia intermitente, por agotamiento autonómico, o por silencio cardíaco de otro origen—. La ortogonalidad del ARI respecto a la frecuencia de eventos se evalúa mediante la correlación de Spearman entre ARI y ODI3.</w:t>
      </w:r>
    </w:p>
    <w:p>
      <w:pPr>
        <w:pStyle w:val="Heading2"/>
        <w:spacing w:after="160" w:before="360"/>
        <w:jc w:val="left"/>
      </w:pPr>
      <w:r>
        <w:rPr>
          <w:rFonts w:ascii="Arial" w:cs="Arial" w:eastAsia="Arial" w:hAnsi="Arial"/>
          <w:b/>
          <w:bCs/>
          <w:color w:val="1E3A5F"/>
          <w:sz w:val="28"/>
          <w:szCs w:val="28"/>
        </w:rPr>
        <w:t xml:space="preserve">3.5  Estados dinámicos multiescala — Nivel 2 (Noche)</w:t>
      </w:r>
    </w:p>
    <w:p>
      <w:pPr>
        <w:spacing w:after="160" w:before="0" w:line="360"/>
        <w:jc w:val="both"/>
      </w:pPr>
      <w:r>
        <w:rPr>
          <w:rFonts w:ascii="Arial" w:cs="Arial" w:eastAsia="Arial" w:hAnsi="Arial"/>
          <w:b w:val="false"/>
          <w:bCs w:val="false"/>
          <w:color w:val="000000"/>
          <w:sz w:val="22"/>
          <w:szCs w:val="22"/>
        </w:rPr>
        <w:t xml:space="preserve">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pPr>
        <w:pStyle w:val="Heading3"/>
        <w:spacing w:after="120" w:before="280"/>
        <w:jc w:val="left"/>
      </w:pPr>
      <w:r>
        <w:rPr>
          <w:rFonts w:ascii="Arial" w:cs="Arial" w:eastAsia="Arial" w:hAnsi="Arial"/>
          <w:b/>
          <w:bCs/>
          <w:color w:val="1E3A5F"/>
          <w:sz w:val="24"/>
          <w:szCs w:val="24"/>
        </w:rPr>
        <w:t xml:space="preserve">3.5.1  Escalas temporales y particionamiento</w:t>
      </w:r>
    </w:p>
    <w:p>
      <w:pPr>
        <w:spacing w:after="160" w:before="0" w:line="360"/>
        <w:jc w:val="both"/>
      </w:pPr>
      <w:r>
        <w:rPr>
          <w:rFonts w:ascii="Arial" w:cs="Arial" w:eastAsia="Arial" w:hAnsi="Arial"/>
          <w:b w:val="false"/>
          <w:bCs w:val="false"/>
          <w:color w:val="000000"/>
          <w:sz w:val="22"/>
          <w:szCs w:val="22"/>
        </w:rPr>
        <w:t xml:space="preserve">La noche se particionó en ventanas temporales disjuntas a tres escalas complementarias:</w:t>
      </w:r>
    </w:p>
    <w:p>
      <w:pPr>
        <w:spacing w:after="160" w:before="0" w:line="360"/>
        <w:jc w:val="both"/>
      </w:pPr>
      <w:r>
        <w:rPr>
          <w:rFonts w:ascii="Arial" w:cs="Arial" w:eastAsia="Arial" w:hAnsi="Arial"/>
          <w:b/>
          <w:bCs/>
          <w:color w:val="000000"/>
          <w:sz w:val="22"/>
          <w:szCs w:val="22"/>
        </w:rPr>
        <w:t xml:space="preserve">Escala S (</w:t>
      </w:r>
      <w:r>
        <w:rPr>
          <w:rFonts w:ascii="Arial" w:cs="Arial" w:eastAsia="Arial" w:hAnsi="Arial"/>
          <w:b w:val="false"/>
          <w:bCs w:val="false"/>
          <w:color w:val="000000"/>
          <w:sz w:val="22"/>
          <w:szCs w:val="22"/>
        </w:rPr>
        <w:t xml:space="preserve">short</w:t>
      </w:r>
      <w:r>
        <w:rPr>
          <w:rFonts w:ascii="Arial" w:cs="Arial" w:eastAsia="Arial" w:hAnsi="Arial"/>
          <w:b/>
          <w:bCs/>
          <w:color w:val="000000"/>
          <w:sz w:val="22"/>
          <w:szCs w:val="22"/>
        </w:rPr>
        <w:t xml:space="preserve">, 30 s)</w:t>
      </w:r>
      <w:r>
        <w:rPr>
          <w:rFonts w:ascii="Arial" w:cs="Arial" w:eastAsia="Arial" w:hAnsi="Arial"/>
          <w:b w:val="false"/>
          <w:bCs w:val="false"/>
          <w:color w:val="000000"/>
          <w:sz w:val="22"/>
          <w:szCs w:val="22"/>
        </w:rPr>
        <w:t xml:space="preserve">: captura la microdinámica peri-evento, es decir, el contexto fisiológico inmediato en el que ocurre cada EDO y los instantes de transición de señal a alta resolución.</w:t>
      </w:r>
    </w:p>
    <w:p>
      <w:pPr>
        <w:spacing w:after="160" w:before="0" w:line="360"/>
        <w:jc w:val="both"/>
      </w:pPr>
      <w:r>
        <w:rPr>
          <w:rFonts w:ascii="Arial" w:cs="Arial" w:eastAsia="Arial" w:hAnsi="Arial"/>
          <w:b/>
          <w:bCs/>
          <w:color w:val="000000"/>
          <w:sz w:val="22"/>
          <w:szCs w:val="22"/>
        </w:rPr>
        <w:t xml:space="preserve">Escala M (</w:t>
      </w:r>
      <w:r>
        <w:rPr>
          <w:rFonts w:ascii="Arial" w:cs="Arial" w:eastAsia="Arial" w:hAnsi="Arial"/>
          <w:b w:val="false"/>
          <w:bCs w:val="false"/>
          <w:color w:val="000000"/>
          <w:sz w:val="22"/>
          <w:szCs w:val="22"/>
        </w:rPr>
        <w:t xml:space="preserve">medium</w:t>
      </w:r>
      <w:r>
        <w:rPr>
          <w:rFonts w:ascii="Arial" w:cs="Arial" w:eastAsia="Arial" w:hAnsi="Arial"/>
          <w:b/>
          <w:bCs/>
          <w:color w:val="000000"/>
          <w:sz w:val="22"/>
          <w:szCs w:val="22"/>
        </w:rPr>
        <w:t xml:space="preserve">, 5 min)</w:t>
      </w:r>
      <w:r>
        <w:rPr>
          <w:rFonts w:ascii="Arial" w:cs="Arial" w:eastAsia="Arial" w:hAnsi="Arial"/>
          <w:b w:val="false"/>
          <w:bCs w:val="false"/>
          <w:color w:val="000000"/>
          <w:sz w:val="22"/>
          <w:szCs w:val="22"/>
        </w:rPr>
        <w:t xml:space="preserve">: captura la mesodinámica autonómica: episodios de carga hipóxica sostenida, recuperación entre grupos de eventos, o estabilidad prolongada.</w:t>
      </w:r>
    </w:p>
    <w:p>
      <w:pPr>
        <w:spacing w:after="160" w:before="0" w:line="360"/>
        <w:jc w:val="both"/>
      </w:pPr>
      <w:r>
        <w:rPr>
          <w:rFonts w:ascii="Arial" w:cs="Arial" w:eastAsia="Arial" w:hAnsi="Arial"/>
          <w:b/>
          <w:bCs/>
          <w:color w:val="000000"/>
          <w:sz w:val="22"/>
          <w:szCs w:val="22"/>
        </w:rPr>
        <w:t xml:space="preserve">Escala L (</w:t>
      </w:r>
      <w:r>
        <w:rPr>
          <w:rFonts w:ascii="Arial" w:cs="Arial" w:eastAsia="Arial" w:hAnsi="Arial"/>
          <w:b w:val="false"/>
          <w:bCs w:val="false"/>
          <w:color w:val="000000"/>
          <w:sz w:val="22"/>
          <w:szCs w:val="22"/>
        </w:rPr>
        <w:t xml:space="preserve">long</w:t>
      </w:r>
      <w:r>
        <w:rPr>
          <w:rFonts w:ascii="Arial" w:cs="Arial" w:eastAsia="Arial" w:hAnsi="Arial"/>
          <w:b/>
          <w:bCs/>
          <w:color w:val="000000"/>
          <w:sz w:val="22"/>
          <w:szCs w:val="22"/>
        </w:rPr>
        <w:t xml:space="preserve">, 30 min)</w:t>
      </w:r>
      <w:r>
        <w:rPr>
          <w:rFonts w:ascii="Arial" w:cs="Arial" w:eastAsia="Arial" w:hAnsi="Arial"/>
          <w:b w:val="false"/>
          <w:bCs w:val="false"/>
          <w:color w:val="000000"/>
          <w:sz w:val="22"/>
          <w:szCs w:val="22"/>
        </w:rPr>
        <w:t xml:space="preserve">: captura la macrodinámica nocturna: la progresión global de la carga a lo largo de las distintas fases de la noche.</w:t>
      </w:r>
    </w:p>
    <w:p>
      <w:pPr>
        <w:spacing w:after="160" w:before="0" w:line="360"/>
        <w:jc w:val="both"/>
      </w:pPr>
      <w:r>
        <w:rPr>
          <w:rFonts w:ascii="Arial" w:cs="Arial" w:eastAsia="Arial" w:hAnsi="Arial"/>
          <w:b w:val="false"/>
          <w:bCs w:val="false"/>
          <w:color w:val="000000"/>
          <w:sz w:val="22"/>
          <w:szCs w:val="22"/>
        </w:rPr>
        <w:t xml:space="preserve">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pPr>
        <w:pStyle w:val="Heading3"/>
        <w:spacing w:after="120" w:before="280"/>
        <w:jc w:val="left"/>
      </w:pPr>
      <w:r>
        <w:rPr>
          <w:rFonts w:ascii="Arial" w:cs="Arial" w:eastAsia="Arial" w:hAnsi="Arial"/>
          <w:b/>
          <w:bCs/>
          <w:color w:val="1E3A5F"/>
          <w:sz w:val="24"/>
          <w:szCs w:val="24"/>
        </w:rPr>
        <w:t xml:space="preserve">3.5.2  Vector de 24 características por ventana</w:t>
      </w:r>
    </w:p>
    <w:p>
      <w:pPr>
        <w:spacing w:after="160" w:before="0" w:line="360"/>
        <w:jc w:val="both"/>
      </w:pPr>
      <w:r>
        <w:rPr>
          <w:rFonts w:ascii="Arial" w:cs="Arial" w:eastAsia="Arial" w:hAnsi="Arial"/>
          <w:b w:val="false"/>
          <w:bCs w:val="false"/>
          <w:color w:val="000000"/>
          <w:sz w:val="22"/>
          <w:szCs w:val="22"/>
        </w:rPr>
        <w:t xml:space="preserve">Cada ventana es caracterizada por un vector de 24 features que combina tres fuentes de información:</w:t>
      </w:r>
    </w:p>
    <w:p>
      <w:pPr>
        <w:spacing w:after="160" w:before="0" w:line="360"/>
        <w:jc w:val="both"/>
      </w:pPr>
      <w:r>
        <w:rPr>
          <w:rFonts w:ascii="Arial" w:cs="Arial" w:eastAsia="Arial" w:hAnsi="Arial"/>
          <w:b/>
          <w:bCs/>
          <w:color w:val="000000"/>
          <w:sz w:val="22"/>
          <w:szCs w:val="22"/>
        </w:rPr>
        <w:t xml:space="preserve">Estadísticas de señal fisiológica</w:t>
      </w:r>
      <w:r>
        <w:rPr>
          <w:rFonts w:ascii="Arial" w:cs="Arial" w:eastAsia="Arial" w:hAnsi="Arial"/>
          <w:b w:val="false"/>
          <w:bCs w:val="false"/>
          <w:color w:val="000000"/>
          <w:sz w:val="22"/>
          <w:szCs w:val="22"/>
        </w:rPr>
        <w:t xml:space="preserve">: media, desvío estándar y percentil 5 de SpO₂ (p5_spo2 como proxy de nadir en la ventana); media y desvío de FC; nivel medio de MOV. Todos los cálculos son nan-aware para tolerar gaps menores dentro de la ventana.</w:t>
      </w:r>
    </w:p>
    <w:p>
      <w:pPr>
        <w:spacing w:after="160" w:before="0" w:line="360"/>
        <w:jc w:val="both"/>
      </w:pPr>
      <w:r>
        <w:rPr>
          <w:rFonts w:ascii="Arial" w:cs="Arial" w:eastAsia="Arial" w:hAnsi="Arial"/>
          <w:b/>
          <w:bCs/>
          <w:color w:val="000000"/>
          <w:sz w:val="22"/>
          <w:szCs w:val="22"/>
        </w:rPr>
        <w:t xml:space="preserve">Densidad de morfotipos</w:t>
      </w:r>
      <w:r>
        <w:rPr>
          <w:rFonts w:ascii="Arial" w:cs="Arial" w:eastAsia="Arial" w:hAnsi="Arial"/>
          <w:b w:val="false"/>
          <w:bCs w:val="false"/>
          <w:color w:val="000000"/>
          <w:sz w:val="22"/>
          <w:szCs w:val="22"/>
        </w:rPr>
        <w:t xml:space="preserve">: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pPr>
        <w:spacing w:after="160" w:before="0" w:line="360"/>
        <w:jc w:val="both"/>
      </w:pPr>
      <w:r>
        <w:rPr>
          <w:rFonts w:ascii="Arial" w:cs="Arial" w:eastAsia="Arial" w:hAnsi="Arial"/>
          <w:b/>
          <w:bCs/>
          <w:color w:val="000000"/>
          <w:sz w:val="22"/>
          <w:szCs w:val="22"/>
        </w:rPr>
        <w:t xml:space="preserve">Composición de estadios de sueño</w:t>
      </w:r>
      <w:r>
        <w:rPr>
          <w:rFonts w:ascii="Arial" w:cs="Arial" w:eastAsia="Arial" w:hAnsi="Arial"/>
          <w:b w:val="false"/>
          <w:bCs w:val="false"/>
          <w:color w:val="000000"/>
          <w:sz w:val="22"/>
          <w:szCs w:val="22"/>
        </w:rPr>
        <w:t xml:space="preserve">: fracción de tiempo en cada estadio (vigilia, NREM, REM) según el staging inferido por el firmware del dispositivo a partir de FC y MOV. La escala M —con ventanas de 5 min— es la que mejor captura los ciclos de estadios de sueño en su granularidad temporal natural.</w:t>
      </w:r>
    </w:p>
    <w:p>
      <w:pPr>
        <w:pStyle w:val="Heading3"/>
        <w:spacing w:after="120" w:before="280"/>
        <w:jc w:val="left"/>
      </w:pPr>
      <w:r>
        <w:rPr>
          <w:rFonts w:ascii="Arial" w:cs="Arial" w:eastAsia="Arial" w:hAnsi="Arial"/>
          <w:b/>
          <w:bCs/>
          <w:color w:val="1E3A5F"/>
          <w:sz w:val="24"/>
          <w:szCs w:val="24"/>
        </w:rPr>
        <w:t xml:space="preserve">3.5.3  Clustering por escala: estados PAC</w:t>
      </w:r>
    </w:p>
    <w:p>
      <w:pPr>
        <w:spacing w:after="160" w:before="0" w:line="360"/>
        <w:jc w:val="both"/>
      </w:pPr>
      <w:r>
        <w:rPr>
          <w:rFonts w:ascii="Arial" w:cs="Arial" w:eastAsia="Arial" w:hAnsi="Arial"/>
          <w:b w:val="false"/>
          <w:bCs w:val="false"/>
          <w:color w:val="000000"/>
          <w:sz w:val="22"/>
          <w:szCs w:val="22"/>
        </w:rPr>
        <w:t xml:space="preserve">Sobre el pool de ventanas de las 560 noches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pPr>
        <w:spacing w:after="160" w:before="0" w:line="360"/>
        <w:jc w:val="both"/>
      </w:pPr>
      <w:r>
        <w:rPr>
          <w:rFonts w:ascii="Arial" w:cs="Arial" w:eastAsia="Arial" w:hAnsi="Arial"/>
          <w:b w:val="false"/>
          <w:bCs w:val="false"/>
          <w:color w:val="000000"/>
          <w:sz w:val="22"/>
          <w:szCs w:val="22"/>
        </w:rPr>
        <w:t xml:space="preserve">El número de clusters por escala (S: K=6, M: K=8, L: K=6) se seleccionó mediante el mismo procedimiento de codo + Silhouette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estados resultantes se etiquetan con prefijo de escala: S0–S5, M0–M7 y L0–L5.</w:t>
      </w:r>
    </w:p>
    <w:p>
      <w:pPr>
        <w:spacing w:after="160" w:before="0" w:line="360"/>
        <w:jc w:val="both"/>
      </w:pPr>
      <w:r>
        <w:rPr>
          <w:rFonts w:ascii="Arial" w:cs="Arial" w:eastAsia="Arial" w:hAnsi="Arial"/>
          <w:b w:val="false"/>
          <w:bCs w:val="false"/>
          <w:color w:val="000000"/>
          <w:sz w:val="22"/>
          <w:szCs w:val="22"/>
        </w:rPr>
        <w:t xml:space="preserve">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pPr>
        <w:pStyle w:val="Heading3"/>
        <w:spacing w:after="120" w:before="280"/>
        <w:jc w:val="left"/>
      </w:pPr>
      <w:r>
        <w:rPr>
          <w:rFonts w:ascii="Arial" w:cs="Arial" w:eastAsia="Arial" w:hAnsi="Arial"/>
          <w:b/>
          <w:bCs/>
          <w:color w:val="1E3A5F"/>
          <w:sz w:val="24"/>
          <w:szCs w:val="24"/>
        </w:rPr>
        <w:t xml:space="preserve">3.5.4  Features nocturnas derivadas</w:t>
      </w:r>
    </w:p>
    <w:p>
      <w:pPr>
        <w:spacing w:after="160" w:before="0" w:line="360"/>
        <w:jc w:val="both"/>
      </w:pPr>
      <w:r>
        <w:rPr>
          <w:rFonts w:ascii="Arial" w:cs="Arial" w:eastAsia="Arial" w:hAnsi="Arial"/>
          <w:b w:val="false"/>
          <w:bCs w:val="false"/>
          <w:color w:val="000000"/>
          <w:sz w:val="22"/>
          <w:szCs w:val="22"/>
        </w:rPr>
        <w:t xml:space="preserve">A partir de la secuencia de estados asignados a cada noche, se calculan 26 features nocturnas que representan la dinámica de esa noche como un vector compacto:</w:t>
      </w:r>
    </w:p>
    <w:p>
      <w:pPr>
        <w:spacing w:after="160" w:before="0" w:line="360"/>
        <w:jc w:val="both"/>
      </w:pPr>
      <w:r>
        <w:rPr>
          <w:rFonts w:ascii="Arial" w:cs="Arial" w:eastAsia="Arial" w:hAnsi="Arial"/>
          <w:b/>
          <w:bCs/>
          <w:color w:val="000000"/>
          <w:sz w:val="22"/>
          <w:szCs w:val="22"/>
        </w:rPr>
        <w:t xml:space="preserve">Fracciones de estado</w:t>
      </w:r>
      <w:r>
        <w:rPr>
          <w:rFonts w:ascii="Arial" w:cs="Arial" w:eastAsia="Arial" w:hAnsi="Arial"/>
          <w:b w:val="false"/>
          <w:bCs w:val="false"/>
          <w:color w:val="000000"/>
          <w:sz w:val="22"/>
          <w:szCs w:val="22"/>
        </w:rPr>
        <w:t xml:space="preserve">: proporción de ventanas de la noche asignadas a cada estado por escala (normalizadas a 1). Estas features reflejan la distribución del tiempo nocturno entre distintos patrones fisiológicos.</w:t>
      </w:r>
    </w:p>
    <w:p>
      <w:pPr>
        <w:spacing w:after="160" w:before="0" w:line="360"/>
        <w:jc w:val="both"/>
      </w:pPr>
      <w:r>
        <w:rPr>
          <w:rFonts w:ascii="Arial" w:cs="Arial" w:eastAsia="Arial" w:hAnsi="Arial"/>
          <w:b/>
          <w:bCs/>
          <w:color w:val="000000"/>
          <w:sz w:val="22"/>
          <w:szCs w:val="22"/>
        </w:rPr>
        <w:t xml:space="preserve">Entropía de Shannon</w:t>
      </w:r>
      <w:r>
        <w:rPr>
          <w:rFonts w:ascii="Arial" w:cs="Arial" w:eastAsia="Arial" w:hAnsi="Arial"/>
          <w:b w:val="false"/>
          <w:bCs w:val="false"/>
          <w:color w:val="000000"/>
          <w:sz w:val="22"/>
          <w:szCs w:val="22"/>
        </w:rPr>
        <w:t xml:space="preserve">: entropía de la distribución de estados por escala (3 features: S, M, L). Un valor alto indica una noche irregular con frecuente cambio de estado; un valor bajo indica dominancia de pocos estados.</w:t>
      </w:r>
    </w:p>
    <w:p>
      <w:pPr>
        <w:spacing w:after="160" w:before="0" w:line="360"/>
        <w:jc w:val="both"/>
      </w:pPr>
      <w:r>
        <w:rPr>
          <w:rFonts w:ascii="Arial" w:cs="Arial" w:eastAsia="Arial" w:hAnsi="Arial"/>
          <w:b/>
          <w:bCs/>
          <w:color w:val="000000"/>
          <w:sz w:val="22"/>
          <w:szCs w:val="22"/>
        </w:rPr>
        <w:t xml:space="preserve">Tasa de transiciones</w:t>
      </w:r>
      <w:r>
        <w:rPr>
          <w:rFonts w:ascii="Arial" w:cs="Arial" w:eastAsia="Arial" w:hAnsi="Arial"/>
          <w:b w:val="false"/>
          <w:bCs w:val="false"/>
          <w:color w:val="000000"/>
          <w:sz w:val="22"/>
          <w:szCs w:val="22"/>
        </w:rPr>
        <w:t xml:space="preserve">: número de cambios entre estados distintos por escala, normalizado por la duración de la noche (3 features). Cuantifica la inestabilidad dinámica de cada escala temporal.</w:t>
      </w:r>
    </w:p>
    <w:p>
      <w:pPr>
        <w:spacing w:after="160" w:before="0" w:line="360"/>
        <w:jc w:val="both"/>
      </w:pPr>
      <w:r>
        <w:rPr>
          <w:rFonts w:ascii="Arial" w:cs="Arial" w:eastAsia="Arial" w:hAnsi="Arial"/>
          <w:b w:val="false"/>
          <w:bCs w:val="false"/>
          <w:color w:val="000000"/>
          <w:sz w:val="22"/>
          <w:szCs w:val="22"/>
        </w:rPr>
        <w:t xml:space="preserve">Sobre estas 26 features se aplica PCA multiescala para identificar las dimensiones de mayor varianza del espacio nocturno, y se evalúa su asociación con índices clínicos convencionales (ODI3, T90) como validación de contenido.</w:t>
      </w:r>
    </w:p>
    <w:p>
      <w:pPr>
        <w:pStyle w:val="Heading3"/>
        <w:spacing w:after="120" w:before="280"/>
        <w:jc w:val="left"/>
      </w:pPr>
      <w:r>
        <w:rPr>
          <w:rFonts w:ascii="Arial" w:cs="Arial" w:eastAsia="Arial" w:hAnsi="Arial"/>
          <w:b/>
          <w:bCs/>
          <w:color w:val="1E3A5F"/>
          <w:sz w:val="24"/>
          <w:szCs w:val="24"/>
        </w:rPr>
        <w:t xml:space="preserve">3.5.5  Análisis de trayectorias y cadenas de Markov</w:t>
      </w:r>
    </w:p>
    <w:p>
      <w:pPr>
        <w:spacing w:after="160" w:before="0" w:line="360"/>
        <w:jc w:val="both"/>
      </w:pPr>
      <w:r>
        <w:rPr>
          <w:rFonts w:ascii="Arial" w:cs="Arial" w:eastAsia="Arial" w:hAnsi="Arial"/>
          <w:b w:val="false"/>
          <w:bCs w:val="false"/>
          <w:color w:val="000000"/>
          <w:sz w:val="22"/>
          <w:szCs w:val="22"/>
        </w:rPr>
        <w:t xml:space="preserve">La secuencia de estados a cada escala se analiza como cadena de Markov de primer orden: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pPr>
        <w:pStyle w:val="Heading2"/>
        <w:spacing w:after="160" w:before="360"/>
        <w:jc w:val="left"/>
      </w:pPr>
      <w:r>
        <w:rPr>
          <w:rFonts w:ascii="Arial" w:cs="Arial" w:eastAsia="Arial" w:hAnsi="Arial"/>
          <w:b/>
          <w:bCs/>
          <w:color w:val="1E3A5F"/>
          <w:sz w:val="28"/>
          <w:szCs w:val="28"/>
        </w:rPr>
        <w:t xml:space="preserve">3.6  Modelos predictivos — Nivel 3 (Paciente)</w:t>
      </w:r>
    </w:p>
    <w:p>
      <w:pPr>
        <w:spacing w:after="160" w:before="0" w:line="360"/>
        <w:jc w:val="both"/>
      </w:pPr>
      <w:r>
        <w:rPr>
          <w:rFonts w:ascii="Arial" w:cs="Arial" w:eastAsia="Arial" w:hAnsi="Arial"/>
          <w:b w:val="false"/>
          <w:bCs w:val="false"/>
          <w:color w:val="000000"/>
          <w:sz w:val="22"/>
          <w:szCs w:val="22"/>
        </w:rPr>
        <w:t xml:space="preserve">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pPr>
        <w:pStyle w:val="Heading3"/>
        <w:spacing w:after="120" w:before="280"/>
        <w:jc w:val="left"/>
      </w:pPr>
      <w:r>
        <w:rPr>
          <w:rFonts w:ascii="Arial" w:cs="Arial" w:eastAsia="Arial" w:hAnsi="Arial"/>
          <w:b/>
          <w:bCs/>
          <w:color w:val="1E3A5F"/>
          <w:sz w:val="24"/>
          <w:szCs w:val="24"/>
        </w:rPr>
        <w:t xml:space="preserve">3.6.1  Clasificación de severidad nocturna</w:t>
      </w:r>
    </w:p>
    <w:p>
      <w:pPr>
        <w:spacing w:after="160" w:before="0" w:line="360"/>
        <w:jc w:val="both"/>
      </w:pPr>
      <w:r>
        <w:rPr>
          <w:rFonts w:ascii="Arial" w:cs="Arial" w:eastAsia="Arial" w:hAnsi="Arial"/>
          <w:b w:val="false"/>
          <w:bCs w:val="false"/>
          <w:color w:val="000000"/>
          <w:sz w:val="22"/>
          <w:szCs w:val="22"/>
        </w:rPr>
        <w:t xml:space="preserve">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pPr>
        <w:spacing w:after="160" w:before="0" w:line="360"/>
        <w:jc w:val="both"/>
      </w:pPr>
      <w:r>
        <w:rPr>
          <w:rFonts w:ascii="Arial" w:cs="Arial" w:eastAsia="Arial" w:hAnsi="Arial"/>
          <w:b w:val="false"/>
          <w:bCs w:val="false"/>
          <w:color w:val="000000"/>
          <w:sz w:val="22"/>
          <w:szCs w:val="22"/>
        </w:rPr>
        <w:t xml:space="preserve">Se evalúan dos familias de modelos. </w:t>
      </w:r>
      <w:r>
        <w:rPr>
          <w:rFonts w:ascii="Arial" w:cs="Arial" w:eastAsia="Arial" w:hAnsi="Arial"/>
          <w:b/>
          <w:bCs/>
          <w:color w:val="000000"/>
          <w:sz w:val="22"/>
          <w:szCs w:val="22"/>
        </w:rPr>
        <w:t xml:space="preserve">Gradient Boosting</w:t>
      </w:r>
      <w:r>
        <w:rPr>
          <w:rFonts w:ascii="Arial" w:cs="Arial" w:eastAsia="Arial" w:hAnsi="Arial"/>
          <w:b w:val="false"/>
          <w:bCs w:val="false"/>
          <w:color w:val="000000"/>
          <w:sz w:val="22"/>
          <w:szCs w:val="22"/>
        </w:rPr>
        <w:t xml:space="preserve"> (LightGBM; Ke et al., 2017): modelo de ensamble basado en árboles de decisión con regularización por gradiente, particularmente adecuado para datos tabulares con features de distintas escalas y relaciones no lineales entre predictores. </w:t>
      </w:r>
      <w:r>
        <w:rPr>
          <w:rFonts w:ascii="Arial" w:cs="Arial" w:eastAsia="Arial" w:hAnsi="Arial"/>
          <w:b/>
          <w:bCs/>
          <w:color w:val="000000"/>
          <w:sz w:val="22"/>
          <w:szCs w:val="22"/>
        </w:rPr>
        <w:t xml:space="preserve">Regresión Logística</w:t>
      </w:r>
      <w:r>
        <w:rPr>
          <w:rFonts w:ascii="Arial" w:cs="Arial" w:eastAsia="Arial" w:hAnsi="Arial"/>
          <w:b w:val="false"/>
          <w:bCs w:val="false"/>
          <w:color w:val="000000"/>
          <w:sz w:val="22"/>
          <w:szCs w:val="22"/>
        </w:rPr>
        <w:t xml:space="preserve"> (LR; Hosmer et al., 2013): modelo lineal que opera como línea base interpretable. Su comparación con LightGBM permite evaluar en qué medida la relación entre features nocturnas y severidad es aproximadamente lineal.</w:t>
      </w:r>
    </w:p>
    <w:p>
      <w:pPr>
        <w:spacing w:after="160" w:before="0" w:line="360"/>
        <w:jc w:val="both"/>
      </w:pPr>
      <w:r>
        <w:rPr>
          <w:rFonts w:ascii="Arial" w:cs="Arial" w:eastAsia="Arial" w:hAnsi="Arial"/>
          <w:b w:val="false"/>
          <w:bCs w:val="false"/>
          <w:color w:val="000000"/>
          <w:sz w:val="22"/>
          <w:szCs w:val="22"/>
        </w:rPr>
        <w:t xml:space="preserve">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pPr>
        <w:pStyle w:val="Heading3"/>
        <w:spacing w:after="120" w:before="280"/>
        <w:jc w:val="left"/>
      </w:pPr>
      <w:r>
        <w:rPr>
          <w:rFonts w:ascii="Arial" w:cs="Arial" w:eastAsia="Arial" w:hAnsi="Arial"/>
          <w:b/>
          <w:bCs/>
          <w:color w:val="1E3A5F"/>
          <w:sz w:val="24"/>
          <w:szCs w:val="24"/>
        </w:rPr>
        <w:t xml:space="preserve">3.6.2  Predicción del siguiente evento severo (NB07)</w:t>
      </w:r>
    </w:p>
    <w:p>
      <w:pPr>
        <w:spacing w:after="160" w:before="0" w:line="360"/>
        <w:jc w:val="both"/>
      </w:pPr>
      <w:r>
        <w:rPr>
          <w:rFonts w:ascii="Arial" w:cs="Arial" w:eastAsia="Arial" w:hAnsi="Arial"/>
          <w:b w:val="false"/>
          <w:bCs w:val="false"/>
          <w:color w:val="000000"/>
          <w:sz w:val="22"/>
          <w:szCs w:val="22"/>
        </w:rPr>
        <w:t xml:space="preserve">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pPr>
        <w:pStyle w:val="Heading3"/>
        <w:spacing w:after="120" w:before="280"/>
        <w:jc w:val="left"/>
      </w:pPr>
      <w:r>
        <w:rPr>
          <w:rFonts w:ascii="Arial" w:cs="Arial" w:eastAsia="Arial" w:hAnsi="Arial"/>
          <w:b/>
          <w:bCs/>
          <w:color w:val="1E3A5F"/>
          <w:sz w:val="24"/>
          <w:szCs w:val="24"/>
        </w:rPr>
        <w:t xml:space="preserve">3.6.3  Score de riesgo nocturno</w:t>
      </w:r>
    </w:p>
    <w:p>
      <w:pPr>
        <w:spacing w:after="160" w:before="0" w:line="360"/>
        <w:jc w:val="both"/>
      </w:pPr>
      <w:r>
        <w:rPr>
          <w:rFonts w:ascii="Arial" w:cs="Arial" w:eastAsia="Arial" w:hAnsi="Arial"/>
          <w:b w:val="false"/>
          <w:bCs w:val="false"/>
          <w:color w:val="000000"/>
          <w:sz w:val="22"/>
          <w:szCs w:val="22"/>
        </w:rPr>
        <w:t xml:space="preserve">Como síntesis clínica de los modelos de clasificación, se construye un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de riesgo continuo en escala 0–100, calibrado para que su distribución sea monotónicamente creciente con la categoría AASM. El </w:t>
      </w:r>
      <w:r>
        <w:rPr>
          <w:rFonts w:ascii="Arial" w:cs="Arial" w:eastAsia="Arial" w:hAnsi="Arial"/>
          <w:b w:val="false"/>
          <w:bCs w:val="false"/>
          <w:color w:val="000000"/>
          <w:sz w:val="22"/>
          <w:szCs w:val="22"/>
        </w:rPr>
        <w:t xml:space="preserve">score</w:t>
      </w:r>
      <w:r>
        <w:rPr>
          <w:rFonts w:ascii="Arial" w:cs="Arial" w:eastAsia="Arial" w:hAnsi="Arial"/>
          <w:b w:val="false"/>
          <w:bCs w:val="false"/>
          <w:color w:val="000000"/>
          <w:sz w:val="22"/>
          <w:szCs w:val="22"/>
        </w:rPr>
        <w:t xml:space="preserve"> integra las predicciones del modelo de mayor rendimiento en validación LOPO-CV y permite comunicar el riesgo nocturno en una escala clínicamente interpretable, con umbrales de corte definidos a partir de la distribución observada en la cohorte.</w:t>
      </w:r>
    </w:p>
    <w:p>
      <w:pPr>
        <w:pStyle w:val="Heading2"/>
        <w:spacing w:after="160" w:before="360"/>
        <w:jc w:val="left"/>
      </w:pPr>
      <w:r>
        <w:rPr>
          <w:rFonts w:ascii="Arial" w:cs="Arial" w:eastAsia="Arial" w:hAnsi="Arial"/>
          <w:b/>
          <w:bCs/>
          <w:color w:val="1E3A5F"/>
          <w:sz w:val="28"/>
          <w:szCs w:val="28"/>
        </w:rPr>
        <w:t xml:space="preserve">3.7  Predicción prospectiva con lead time clínico (NB08)</w:t>
      </w:r>
    </w:p>
    <w:p>
      <w:pPr>
        <w:spacing w:after="160" w:before="0" w:line="360"/>
        <w:jc w:val="both"/>
      </w:pPr>
      <w:r>
        <w:rPr>
          <w:rFonts w:ascii="Arial" w:cs="Arial" w:eastAsia="Arial" w:hAnsi="Arial"/>
          <w:b w:val="false"/>
          <w:bCs w:val="false"/>
          <w:color w:val="000000"/>
          <w:sz w:val="22"/>
          <w:szCs w:val="22"/>
        </w:rPr>
        <w:t xml:space="preserve">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pPr>
        <w:spacing w:after="160" w:before="0" w:line="360"/>
        <w:jc w:val="both"/>
      </w:pPr>
      <w:r>
        <w:rPr>
          <w:rFonts w:ascii="Arial" w:cs="Arial" w:eastAsia="Arial" w:hAnsi="Arial"/>
          <w:b w:val="false"/>
          <w:bCs w:val="false"/>
          <w:color w:val="000000"/>
          <w:sz w:val="22"/>
          <w:szCs w:val="22"/>
        </w:rPr>
        <w:t xml:space="preserve">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pPr>
        <w:spacing w:after="160" w:before="0" w:line="360"/>
        <w:jc w:val="both"/>
      </w:pPr>
      <w:r>
        <w:rPr>
          <w:rFonts w:ascii="Arial" w:cs="Arial" w:eastAsia="Arial" w:hAnsi="Arial"/>
          <w:b w:val="false"/>
          <w:bCs w:val="false"/>
          <w:color w:val="000000"/>
          <w:sz w:val="22"/>
          <w:szCs w:val="22"/>
        </w:rPr>
        <w:t xml:space="preserve">La selección del horizonte óptimo H=5 min responde a un análisis de trade-off entre tres criterios: (1) margen temporal suficiente para que el dispositivo active la estimulación antes del nadir hipóxico; (2) AUC-ROC robusto en validación LOPO-CV; (3) PPV clínicamente aceptable. A mayor horizonte, el PPV tiende a aumentar (mayor proporción de alertas correctas) pero el AUC disminuye (la predicción pierde discriminación). La relación entre horizonte y métricas de predicción se reporta en el Capítulo 4.</w:t>
      </w:r>
    </w:p>
    <w:p>
      <w:pPr>
        <w:pStyle w:val="Heading2"/>
        <w:spacing w:after="160" w:before="360"/>
        <w:jc w:val="left"/>
      </w:pPr>
      <w:r>
        <w:rPr>
          <w:rFonts w:ascii="Arial" w:cs="Arial" w:eastAsia="Arial" w:hAnsi="Arial"/>
          <w:b/>
          <w:bCs/>
          <w:color w:val="1E3A5F"/>
          <w:sz w:val="28"/>
          <w:szCs w:val="28"/>
        </w:rPr>
        <w:t xml:space="preserve">3.8  Estrategia de validación estadística</w:t>
      </w:r>
    </w:p>
    <w:p>
      <w:pPr>
        <w:pStyle w:val="Heading3"/>
        <w:spacing w:after="120" w:before="280"/>
        <w:jc w:val="left"/>
      </w:pPr>
      <w:r>
        <w:rPr>
          <w:rFonts w:ascii="Arial" w:cs="Arial" w:eastAsia="Arial" w:hAnsi="Arial"/>
          <w:b/>
          <w:bCs/>
          <w:color w:val="1E3A5F"/>
          <w:sz w:val="24"/>
          <w:szCs w:val="24"/>
        </w:rPr>
        <w:t xml:space="preserve">3.8.1  LOPO-CV y unidad efectiva de análisis</w:t>
      </w:r>
    </w:p>
    <w:p>
      <w:pPr>
        <w:spacing w:after="160" w:before="0" w:line="360"/>
        <w:jc w:val="both"/>
      </w:pPr>
      <w:r>
        <w:rPr>
          <w:rFonts w:ascii="Arial" w:cs="Arial" w:eastAsia="Arial" w:hAnsi="Arial"/>
          <w:b w:val="false"/>
          <w:bCs w:val="false"/>
          <w:color w:val="000000"/>
          <w:sz w:val="22"/>
          <w:szCs w:val="22"/>
        </w:rPr>
        <w:t xml:space="preserve">Toda la validación de modelos predictivos se realiza mediante </w:t>
      </w:r>
      <w:r>
        <w:rPr>
          <w:rFonts w:ascii="Arial" w:cs="Arial" w:eastAsia="Arial" w:hAnsi="Arial"/>
          <w:b w:val="false"/>
          <w:bCs w:val="false"/>
          <w:color w:val="000000"/>
          <w:sz w:val="22"/>
          <w:szCs w:val="22"/>
        </w:rPr>
        <w:t xml:space="preserve">Leave-One-Patient-Out Cross-Validation</w:t>
      </w:r>
      <w:r>
        <w:rPr>
          <w:rFonts w:ascii="Arial" w:cs="Arial" w:eastAsia="Arial" w:hAnsi="Arial"/>
          <w:b w:val="false"/>
          <w:bCs w:val="false"/>
          <w:color w:val="000000"/>
          <w:sz w:val="22"/>
          <w:szCs w:val="22"/>
        </w:rPr>
        <w:t xml:space="preserve">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pPr>
        <w:spacing w:after="160" w:before="0" w:line="360"/>
        <w:jc w:val="both"/>
      </w:pPr>
      <w:r>
        <w:rPr>
          <w:rFonts w:ascii="Arial" w:cs="Arial" w:eastAsia="Arial" w:hAnsi="Arial"/>
          <w:b w:val="false"/>
          <w:bCs w:val="false"/>
          <w:color w:val="000000"/>
          <w:sz w:val="22"/>
          <w:szCs w:val="22"/>
        </w:rPr>
        <w:t xml:space="preserve">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pPr>
        <w:pStyle w:val="Heading3"/>
        <w:spacing w:after="120" w:before="280"/>
        <w:jc w:val="left"/>
      </w:pPr>
      <w:r>
        <w:rPr>
          <w:rFonts w:ascii="Arial" w:cs="Arial" w:eastAsia="Arial" w:hAnsi="Arial"/>
          <w:b/>
          <w:bCs/>
          <w:color w:val="1E3A5F"/>
          <w:sz w:val="24"/>
          <w:szCs w:val="24"/>
        </w:rPr>
        <w:t xml:space="preserve">3.8.2  Reproducibilidad inter-noche</w:t>
      </w:r>
    </w:p>
    <w:p>
      <w:pPr>
        <w:spacing w:after="160" w:before="0" w:line="360"/>
        <w:jc w:val="both"/>
      </w:pPr>
      <w:r>
        <w:rPr>
          <w:rFonts w:ascii="Arial" w:cs="Arial" w:eastAsia="Arial" w:hAnsi="Arial"/>
          <w:b w:val="false"/>
          <w:bCs w:val="false"/>
          <w:color w:val="000000"/>
          <w:sz w:val="22"/>
          <w:szCs w:val="22"/>
        </w:rPr>
        <w:t xml:space="preserve">La estabilidad de las métricas propuestas frente a la variabilidad intraindividual se evalúa mediante tres procedimientos complementarios:</w:t>
      </w:r>
    </w:p>
    <w:p>
      <w:pPr>
        <w:spacing w:after="160" w:before="0" w:line="360"/>
        <w:jc w:val="both"/>
      </w:pPr>
      <w:r>
        <w:rPr>
          <w:rFonts w:ascii="Arial" w:cs="Arial" w:eastAsia="Arial" w:hAnsi="Arial"/>
          <w:b/>
          <w:bCs/>
          <w:color w:val="000000"/>
          <w:sz w:val="22"/>
          <w:szCs w:val="22"/>
        </w:rPr>
        <w:t xml:space="preserve">Coeficiente de correlación intraclase ICC(1,1)</w:t>
      </w:r>
      <w:r>
        <w:rPr>
          <w:rFonts w:ascii="Arial" w:cs="Arial" w:eastAsia="Arial" w:hAnsi="Arial"/>
          <w:b w:val="false"/>
          <w:bCs w:val="false"/>
          <w:color w:val="000000"/>
          <w:sz w:val="22"/>
          <w:szCs w:val="22"/>
        </w:rPr>
        <w:t xml:space="preserve"> (Koo &amp; Mae,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pPr>
        <w:spacing w:after="160" w:before="0" w:line="360"/>
        <w:jc w:val="both"/>
      </w:pPr>
      <w:r>
        <w:rPr>
          <w:rFonts w:ascii="Arial" w:cs="Arial" w:eastAsia="Arial" w:hAnsi="Arial"/>
          <w:b/>
          <w:bCs/>
          <w:color w:val="000000"/>
          <w:sz w:val="22"/>
          <w:szCs w:val="22"/>
        </w:rPr>
        <w:t xml:space="preserve">Análisis de concordancia de Bland-Altman</w:t>
      </w:r>
      <w:r>
        <w:rPr>
          <w:rFonts w:ascii="Arial" w:cs="Arial" w:eastAsia="Arial" w:hAnsi="Arial"/>
          <w:b w:val="false"/>
          <w:bCs w:val="false"/>
          <w:color w:val="000000"/>
          <w:sz w:val="22"/>
          <w:szCs w:val="22"/>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pPr>
        <w:spacing w:after="160" w:before="0" w:line="360"/>
        <w:jc w:val="both"/>
      </w:pPr>
      <w:r>
        <w:rPr>
          <w:rFonts w:ascii="Arial" w:cs="Arial" w:eastAsia="Arial" w:hAnsi="Arial"/>
          <w:b/>
          <w:bCs/>
          <w:color w:val="000000"/>
          <w:sz w:val="22"/>
          <w:szCs w:val="22"/>
        </w:rPr>
        <w:t xml:space="preserve">Curvas de estabilización bootstrap del MAE</w:t>
      </w:r>
      <w:r>
        <w:rPr>
          <w:rFonts w:ascii="Arial" w:cs="Arial" w:eastAsia="Arial" w:hAnsi="Arial"/>
          <w:b w:val="false"/>
          <w:bCs w:val="false"/>
          <w:color w:val="000000"/>
          <w:sz w:val="22"/>
          <w:szCs w:val="22"/>
        </w:rPr>
        <w:t xml:space="preserve">: para pacientes con ≥ 14 noches válidas (n = 7), se estima el error absoluto medio (MAE) en función del número de noches acumuladas mediante remuestreo </w:t>
      </w:r>
      <w:r>
        <w:rPr>
          <w:rFonts w:ascii="Arial" w:cs="Arial" w:eastAsia="Arial" w:hAnsi="Arial"/>
          <w:b w:val="false"/>
          <w:bCs w:val="false"/>
          <w:color w:val="000000"/>
          <w:sz w:val="22"/>
          <w:szCs w:val="22"/>
        </w:rPr>
        <w:t xml:space="preserve">bootstrap</w:t>
      </w:r>
      <w:r>
        <w:rPr>
          <w:rFonts w:ascii="Arial" w:cs="Arial" w:eastAsia="Arial" w:hAnsi="Arial"/>
          <w:b w:val="false"/>
          <w:bCs w:val="false"/>
          <w:color w:val="000000"/>
          <w:sz w:val="22"/>
          <w:szCs w:val="22"/>
        </w:rPr>
        <w:t xml:space="preserve"> (300 iteraciones por paciente). La convergencia del MAE hacia un valor estable define empíricamente el número mínimo de noches necesario para una estimación fiable de cada índice.</w:t>
      </w:r>
    </w:p>
    <w:p>
      <w:pPr>
        <w:pStyle w:val="Heading3"/>
        <w:spacing w:after="120" w:before="280"/>
        <w:jc w:val="left"/>
      </w:pPr>
      <w:r>
        <w:rPr>
          <w:rFonts w:ascii="Arial" w:cs="Arial" w:eastAsia="Arial" w:hAnsi="Arial"/>
          <w:b/>
          <w:bCs/>
          <w:color w:val="1E3A5F"/>
          <w:sz w:val="24"/>
          <w:szCs w:val="24"/>
        </w:rPr>
        <w:t xml:space="preserve">3.8.3  Interpretabilidad de modelos (SHAP)</w:t>
      </w:r>
    </w:p>
    <w:p>
      <w:pPr>
        <w:spacing w:after="160" w:before="0" w:line="360"/>
        <w:jc w:val="both"/>
      </w:pPr>
      <w:r>
        <w:rPr>
          <w:rFonts w:ascii="Arial" w:cs="Arial" w:eastAsia="Arial" w:hAnsi="Arial"/>
          <w:b w:val="false"/>
          <w:bCs w:val="false"/>
          <w:color w:val="000000"/>
          <w:sz w:val="22"/>
          <w:szCs w:val="22"/>
        </w:rPr>
        <w:t xml:space="preserve">Los modelos LightGBM se interpretan mediante valores SHAP (</w:t>
      </w:r>
      <w:r>
        <w:rPr>
          <w:rFonts w:ascii="Arial" w:cs="Arial" w:eastAsia="Arial" w:hAnsi="Arial"/>
          <w:b w:val="false"/>
          <w:bCs w:val="false"/>
          <w:color w:val="000000"/>
          <w:sz w:val="22"/>
          <w:szCs w:val="22"/>
        </w:rPr>
        <w:t xml:space="preserve">SHapley Additive exPlanations</w:t>
      </w:r>
      <w:r>
        <w:rPr>
          <w:rFonts w:ascii="Arial" w:cs="Arial" w:eastAsia="Arial" w:hAnsi="Arial"/>
          <w:b w:val="false"/>
          <w:bCs w:val="false"/>
          <w:color w:val="000000"/>
          <w:sz w:val="22"/>
          <w:szCs w:val="22"/>
        </w:rPr>
        <w:t xml:space="preserve">; Lundberg &amp; Lee, 2017), que asignan a cada feature de cada observación una contribución aditiva a la predicción del modelo, con propiedades de eficiencia, simetría y consistencia derivadas de la teoría de juegos cooperativos. Los valores SHAP 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pPr>
        <w:pStyle w:val="Heading3"/>
        <w:spacing w:after="120" w:before="280"/>
        <w:jc w:val="left"/>
      </w:pPr>
      <w:r>
        <w:rPr>
          <w:rFonts w:ascii="Arial" w:cs="Arial" w:eastAsia="Arial" w:hAnsi="Arial"/>
          <w:b/>
          <w:bCs/>
          <w:color w:val="1E3A5F"/>
          <w:sz w:val="24"/>
          <w:szCs w:val="24"/>
        </w:rPr>
        <w:t xml:space="preserve">3.8.4  Consideraciones sobre independencia estadística y variabilidad intraindividual</w:t>
      </w:r>
    </w:p>
    <w:p>
      <w:pPr>
        <w:spacing w:after="160" w:before="0" w:line="360"/>
        <w:jc w:val="both"/>
      </w:pPr>
      <w:r>
        <w:rPr>
          <w:rFonts w:ascii="Arial" w:cs="Arial" w:eastAsia="Arial" w:hAnsi="Arial"/>
          <w:b w:val="false"/>
          <w:bCs w:val="false"/>
          <w:color w:val="000000"/>
          <w:sz w:val="22"/>
          <w:szCs w:val="22"/>
        </w:rPr>
        <w:t xml:space="preserve">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pPr>
        <w:spacing w:after="160" w:before="0" w:line="360"/>
        <w:jc w:val="both"/>
      </w:pPr>
      <w:r>
        <w:rPr>
          <w:rFonts w:ascii="Arial" w:cs="Arial" w:eastAsia="Arial" w:hAnsi="Arial"/>
          <w:b w:val="false"/>
          <w:bCs w:val="false"/>
          <w:color w:val="000000"/>
          <w:sz w:val="22"/>
          <w:szCs w:val="22"/>
        </w:rPr>
        <w:t xml:space="preserve">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pPr>
        <w:pStyle w:val="Heading2"/>
        <w:spacing w:after="160" w:before="360"/>
        <w:jc w:val="left"/>
      </w:pPr>
      <w:r>
        <w:rPr>
          <w:rFonts w:ascii="Arial" w:cs="Arial" w:eastAsia="Arial" w:hAnsi="Arial"/>
          <w:b/>
          <w:bCs/>
          <w:color w:val="1E3A5F"/>
          <w:sz w:val="28"/>
          <w:szCs w:val="28"/>
        </w:rPr>
        <w:t xml:space="preserve">Referencias</w:t>
      </w:r>
    </w:p>
    <w:p>
      <w:pPr>
        <w:spacing w:after="160" w:before="0" w:line="360"/>
        <w:jc w:val="both"/>
      </w:pPr>
      <w:r>
        <w:rPr>
          <w:rFonts w:ascii="Arial" w:cs="Arial" w:eastAsia="Arial" w:hAnsi="Arial"/>
          <w:b w:val="false"/>
          <w:bCs w:val="false"/>
          <w:color w:val="000000"/>
          <w:sz w:val="22"/>
          <w:szCs w:val="22"/>
        </w:rPr>
        <w:t xml:space="preserve">Azarbarzin, A., Sands, S. A., Stone, K. L., Taranto-Montemurro, L., Messineo, L., Terrill, P. I., Ancoli-Israel, S., Ensrud, K., Purcell, S., White, D. P., Redline, S., &amp; Wellman, A. (2019). The hypnotic burden of sleep apnoea: A novel biomarker of cardiovascular disease. European Heart Journal, 40(14), 1149–1158. https://doi.org/10.1093/eurheartj/ehy234</w:t>
      </w:r>
    </w:p>
    <w:p>
      <w:pPr>
        <w:spacing w:after="160" w:before="0" w:line="360"/>
        <w:jc w:val="both"/>
      </w:pPr>
      <w:r>
        <w:rPr>
          <w:rFonts w:ascii="Arial" w:cs="Arial" w:eastAsia="Arial" w:hAnsi="Arial"/>
          <w:b w:val="false"/>
          <w:bCs w:val="false"/>
          <w:color w:val="000000"/>
          <w:sz w:val="22"/>
          <w:szCs w:val="22"/>
        </w:rPr>
        <w:t xml:space="preserve">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pPr>
        <w:spacing w:after="160" w:before="0" w:line="360"/>
        <w:jc w:val="both"/>
      </w:pPr>
      <w:r>
        <w:rPr>
          <w:rFonts w:ascii="Arial" w:cs="Arial" w:eastAsia="Arial" w:hAnsi="Arial"/>
          <w:b w:val="false"/>
          <w:bCs w:val="false"/>
          <w:color w:val="000000"/>
          <w:sz w:val="22"/>
          <w:szCs w:val="22"/>
        </w:rPr>
        <w:t xml:space="preserve">Bland, J. M., &amp; Altman, D. G. (1986). Statistical methods for assessing agreement between two methods of clinical measurement. The Lancet, 327(8476), 307–310. https://doi.org/10.1016/S0140-6736(86)90837-8</w:t>
      </w:r>
    </w:p>
    <w:p>
      <w:pPr>
        <w:spacing w:after="160" w:before="0" w:line="360"/>
        <w:jc w:val="both"/>
      </w:pPr>
      <w:r>
        <w:rPr>
          <w:rFonts w:ascii="Arial" w:cs="Arial" w:eastAsia="Arial" w:hAnsi="Arial"/>
          <w:b w:val="false"/>
          <w:bCs w:val="false"/>
          <w:color w:val="000000"/>
          <w:sz w:val="22"/>
          <w:szCs w:val="22"/>
        </w:rPr>
        <w:t xml:space="preserve">Hosmer, D. W., Lemeshow, S., &amp; Sturdivant, R. X. (2013). Applied logistic regression (3rd ed.). Wiley. https://doi.org/10.1002/9781118548387</w:t>
      </w:r>
    </w:p>
    <w:p>
      <w:pPr>
        <w:spacing w:after="160" w:before="0" w:line="360"/>
        <w:jc w:val="both"/>
      </w:pPr>
      <w:r>
        <w:rPr>
          <w:rFonts w:ascii="Arial" w:cs="Arial" w:eastAsia="Arial" w:hAnsi="Arial"/>
          <w:b w:val="false"/>
          <w:bCs w:val="false"/>
          <w:color w:val="000000"/>
          <w:sz w:val="22"/>
          <w:szCs w:val="22"/>
        </w:rPr>
        <w:t xml:space="preserve">Jolliffe, I. T. (2002). Principal component analysis (2nd ed.). Springer.</w:t>
      </w:r>
    </w:p>
    <w:p>
      <w:pPr>
        <w:spacing w:after="160" w:before="0" w:line="360"/>
        <w:jc w:val="both"/>
      </w:pPr>
      <w:r>
        <w:rPr>
          <w:rFonts w:ascii="Arial" w:cs="Arial" w:eastAsia="Arial" w:hAnsi="Arial"/>
          <w:b w:val="false"/>
          <w:bCs w:val="false"/>
          <w:color w:val="000000"/>
          <w:sz w:val="22"/>
          <w:szCs w:val="22"/>
        </w:rPr>
        <w:t xml:space="preserve">Ke, G., Meng, Q., Finley, T., Wang, T., Chen, W., Ma, W., Ye, Q., &amp; Liu, T.-Y. (2017). LightGBM: A highly efficient gradient boosting decision tree. Advances in Neural Information Processing Systems, 30, 3146–3154.</w:t>
      </w:r>
    </w:p>
    <w:p>
      <w:pPr>
        <w:spacing w:after="160" w:before="0" w:line="360"/>
        <w:jc w:val="both"/>
      </w:pPr>
      <w:r>
        <w:rPr>
          <w:rFonts w:ascii="Arial" w:cs="Arial" w:eastAsia="Arial" w:hAnsi="Arial"/>
          <w:b w:val="false"/>
          <w:bCs w:val="false"/>
          <w:color w:val="000000"/>
          <w:sz w:val="22"/>
          <w:szCs w:val="22"/>
        </w:rPr>
        <w:t xml:space="preserve">Koo, T. K., &amp; Mae, M. Y. (2016). A guideline of selecting and reporting intraclass correlation coefficients for reliability research. Journal of Chiropractic Medicine, 15(2), 155–163. https://doi.org/10.1016/j.jcm.2016.02.012</w:t>
      </w:r>
    </w:p>
    <w:p>
      <w:pPr>
        <w:spacing w:after="160" w:before="0" w:line="360"/>
        <w:jc w:val="both"/>
      </w:pPr>
      <w:r>
        <w:rPr>
          <w:rFonts w:ascii="Arial" w:cs="Arial" w:eastAsia="Arial" w:hAnsi="Arial"/>
          <w:b w:val="false"/>
          <w:bCs w:val="false"/>
          <w:color w:val="000000"/>
          <w:sz w:val="22"/>
          <w:szCs w:val="22"/>
        </w:rPr>
        <w:t xml:space="preserve">Lundberg, S. M., &amp; Lee, S.-I. (2017). A unified approach to interpreting model predictions. Advances in Neural Information Processing Systems, 30, 4765–4774.</w:t>
      </w:r>
    </w:p>
    <w:p>
      <w:pPr>
        <w:spacing w:after="160" w:before="0" w:line="360"/>
        <w:jc w:val="both"/>
      </w:pPr>
      <w:r>
        <w:rPr>
          <w:rFonts w:ascii="Arial" w:cs="Arial" w:eastAsia="Arial" w:hAnsi="Arial"/>
          <w:b w:val="false"/>
          <w:bCs w:val="false"/>
          <w:color w:val="000000"/>
          <w:sz w:val="22"/>
          <w:szCs w:val="22"/>
        </w:rPr>
        <w:t xml:space="preserve">MacQueen, J. (1967). Some methods for classification and analysis of multivariate observations. Proceedings of the Fifth Berkeley Symposium on Mathematical Statistics and Probability, 1, 281–297.</w:t>
      </w:r>
    </w:p>
    <w:p>
      <w:pPr>
        <w:spacing w:after="160" w:before="0" w:line="360"/>
        <w:jc w:val="both"/>
      </w:pPr>
      <w:r>
        <w:rPr>
          <w:rFonts w:ascii="Arial" w:cs="Arial" w:eastAsia="Arial" w:hAnsi="Arial"/>
          <w:b w:val="false"/>
          <w:bCs w:val="false"/>
          <w:color w:val="000000"/>
          <w:sz w:val="22"/>
          <w:szCs w:val="22"/>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160" w:before="0" w:line="360"/>
        <w:jc w:val="both"/>
      </w:pPr>
      <w:r>
        <w:rPr>
          <w:rFonts w:ascii="Arial" w:cs="Arial" w:eastAsia="Arial" w:hAnsi="Arial"/>
          <w:b w:val="false"/>
          <w:bCs w:val="false"/>
          <w:color w:val="000000"/>
          <w:sz w:val="22"/>
          <w:szCs w:val="22"/>
        </w:rPr>
        <w:t xml:space="preserve">Wasserstein, R. L., &amp; Lazar, N. A. (2016). The ASA statement on p-values: Context, process, and purpose. The American Statistician, 70(2), 129–133. https://doi.org/10.1080/00031305.2016.1154108</w:t>
      </w:r>
    </w:p>
    <w:p>
      <w:pPr>
        <w:spacing w:after="160" w:before="0" w:line="360"/>
        <w:jc w:val="both"/>
      </w:pPr>
      <w:r>
        <w:rPr>
          <w:rFonts w:ascii="Arial" w:cs="Arial" w:eastAsia="Arial" w:hAnsi="Arial"/>
          <w:b w:val="false"/>
          <w:bCs w:val="false"/>
          <w:color w:val="000000"/>
          <w:sz w:val="22"/>
          <w:szCs w:val="22"/>
        </w:rPr>
        <w:t xml:space="preserve">Yoon, H., &amp; Choi, S. H. (2023). Technologies for sleep monitoring at home: wearables and nearables. Biomedical Engineering Letters, 13(3), 313–327. https://doi.org/10.1007/s13534-023-00305-8</w:t>
      </w:r>
    </w:p>
    <w:p>
      <w:pPr>
        <w:spacing w:after="80" w:before="0"/>
      </w:pPr>
      <w:r>
        <w:t xml:space="preserve"/>
      </w:r>
    </w:p>
    <w:p>
      <w:pPr>
        <w:spacing w:after="160" w:before="0" w:line="360"/>
        <w:jc w:val="both"/>
      </w:pPr>
      <w:r>
        <w:rPr>
          <w:rFonts w:ascii="Arial" w:cs="Arial" w:eastAsia="Arial" w:hAnsi="Arial"/>
          <w:b w:val="false"/>
          <w:bCs w:val="false"/>
          <w:color w:val="000000"/>
          <w:sz w:val="22"/>
          <w:szCs w:val="22"/>
        </w:rPr>
        <w:t xml:space="preserve">Continúa en Capítulo 4 — Resultados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Proyecto APNEA — Cap. 3: Materiales y Métodos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2026-05-24T02:38:45.633Z</dcterms:created>
  <dcterms:modified xsi:type="dcterms:W3CDTF">2026-05-24T02:38:45.633Z</dcterms:modified>
</cp:coreProperties>
</file>

<file path=docProps/custom.xml><?xml version="1.0" encoding="utf-8"?>
<Properties xmlns="http://schemas.openxmlformats.org/officeDocument/2006/custom-properties" xmlns:vt="http://schemas.openxmlformats.org/officeDocument/2006/docPropsVTypes"/>
</file>