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E3A5F"/>
          <w:sz w:val="40"/>
          <w:szCs w:val="40"/>
        </w:rPr>
        <w:t xml:space="preserve">CAPÍTULO 3</w:t>
      </w:r>
    </w:p>
    <w:p>
      <w:pPr>
        <w:spacing w:after="480" w:before="0"/>
        <w:jc w:val="left"/>
      </w:pPr>
      <w:r>
        <w:rPr>
          <w:rFonts w:ascii="Arial" w:cs="Arial" w:eastAsia="Arial" w:hAnsi="Arial"/>
          <w:b/>
          <w:bCs/>
          <w:color w:val="1E3A5F"/>
          <w:sz w:val="32"/>
          <w:szCs w:val="32"/>
        </w:rPr>
        <w:t xml:space="preserve">Materiales y Métodos</w:t>
      </w:r>
    </w:p>
    <w:p>
      <w:pPr>
        <w:spacing w:after="160" w:before="0" w:line="360"/>
        <w:jc w:val="both"/>
      </w:pPr>
      <w:r>
        <w:rPr>
          <w:rFonts w:ascii="Arial" w:cs="Arial" w:eastAsia="Arial" w:hAnsi="Arial"/>
          <w:b w:val="false"/>
          <w:bCs w:val="false"/>
          <w:color w:val="000000"/>
          <w:sz w:val="22"/>
          <w:szCs w:val="22"/>
        </w:rPr>
        <w:t xml:space="preserve">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pPr>
        <w:pStyle w:val="Heading2"/>
        <w:spacing w:after="160" w:before="360"/>
        <w:jc w:val="left"/>
      </w:pPr>
      <w:r>
        <w:rPr>
          <w:rFonts w:ascii="Arial" w:cs="Arial" w:eastAsia="Arial" w:hAnsi="Arial"/>
          <w:b/>
          <w:bCs/>
          <w:color w:val="1E3A5F"/>
          <w:sz w:val="28"/>
          <w:szCs w:val="28"/>
        </w:rPr>
        <w:t xml:space="preserve">3.1  Diseño del estudio y consideraciones éticas</w:t>
      </w:r>
    </w:p>
    <w:p>
      <w:pPr>
        <w:spacing w:after="160" w:before="0" w:line="360"/>
        <w:jc w:val="both"/>
      </w:pPr>
      <w:r>
        <w:rPr>
          <w:rFonts w:ascii="Arial" w:cs="Arial" w:eastAsia="Arial" w:hAnsi="Arial"/>
          <w:b w:val="false"/>
          <w:bCs w:val="false"/>
          <w:color w:val="000000"/>
          <w:sz w:val="22"/>
          <w:szCs w:val="22"/>
        </w:rPr>
        <w:t xml:space="preserve">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w:t>
      </w:r>
      <w:r>
        <w:rPr>
          <w:rFonts w:ascii="Arial" w:cs="Arial" w:eastAsia="Arial" w:hAnsi="Arial"/>
          <w:b w:val="false"/>
          <w:bCs w:val="false"/>
          <w:color w:val="000000"/>
          <w:sz w:val="22"/>
          <w:szCs w:val="22"/>
        </w:rPr>
        <w:t xml:space="preserve">International Conference on Harmonisation — Good Clinical Practice</w:t>
      </w:r>
      <w:r>
        <w:rPr>
          <w:rFonts w:ascii="Arial" w:cs="Arial" w:eastAsia="Arial" w:hAnsi="Arial"/>
          <w:b w:val="false"/>
          <w:bCs w:val="false"/>
          <w:color w:val="000000"/>
          <w:sz w:val="22"/>
          <w:szCs w:val="22"/>
        </w:rPr>
        <w:t xml:space="preserve"> (ICH GCP) y las regulaciones aplicables de la </w:t>
      </w:r>
      <w:r>
        <w:rPr>
          <w:rFonts w:ascii="Arial" w:cs="Arial" w:eastAsia="Arial" w:hAnsi="Arial"/>
          <w:b w:val="false"/>
          <w:bCs w:val="false"/>
          <w:color w:val="000000"/>
          <w:sz w:val="22"/>
          <w:szCs w:val="22"/>
        </w:rPr>
        <w:t xml:space="preserve">Food and Drug Administration</w:t>
      </w:r>
      <w:r>
        <w:rPr>
          <w:rFonts w:ascii="Arial" w:cs="Arial" w:eastAsia="Arial" w:hAnsi="Arial"/>
          <w:b w:val="false"/>
          <w:bCs w:val="false"/>
          <w:color w:val="000000"/>
          <w:sz w:val="22"/>
          <w:szCs w:val="22"/>
        </w:rPr>
        <w:t xml:space="preserve">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pPr>
        <w:spacing w:after="160" w:before="0" w:line="360"/>
        <w:jc w:val="both"/>
      </w:pPr>
      <w:r>
        <w:rPr>
          <w:rFonts w:ascii="Arial" w:cs="Arial" w:eastAsia="Arial" w:hAnsi="Arial"/>
          <w:b w:val="false"/>
          <w:bCs w:val="false"/>
          <w:color w:val="000000"/>
          <w:sz w:val="22"/>
          <w:szCs w:val="22"/>
        </w:rPr>
        <w:t xml:space="preserve">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pPr>
        <w:pStyle w:val="Heading2"/>
        <w:spacing w:after="160" w:before="360"/>
        <w:jc w:val="left"/>
      </w:pPr>
      <w:r>
        <w:rPr>
          <w:rFonts w:ascii="Arial" w:cs="Arial" w:eastAsia="Arial" w:hAnsi="Arial"/>
          <w:b/>
          <w:bCs/>
          <w:color w:val="1E3A5F"/>
          <w:sz w:val="28"/>
          <w:szCs w:val="28"/>
        </w:rPr>
        <w:t xml:space="preserve">3.2  Participantes y adquisición de datos</w:t>
      </w:r>
    </w:p>
    <w:p>
      <w:pPr>
        <w:pStyle w:val="Heading3"/>
        <w:spacing w:after="120" w:before="280"/>
        <w:jc w:val="left"/>
      </w:pPr>
      <w:r>
        <w:rPr>
          <w:rFonts w:ascii="Arial" w:cs="Arial" w:eastAsia="Arial" w:hAnsi="Arial"/>
          <w:b/>
          <w:bCs/>
          <w:color w:val="1E3A5F"/>
          <w:sz w:val="24"/>
          <w:szCs w:val="24"/>
        </w:rPr>
        <w:t xml:space="preserve">3.2.1  Cohorte</w:t>
      </w:r>
    </w:p>
    <w:p>
      <w:pPr>
        <w:spacing w:after="160" w:before="0" w:line="360"/>
        <w:jc w:val="both"/>
      </w:pPr>
      <w:r>
        <w:rPr>
          <w:rFonts w:ascii="Arial" w:cs="Arial" w:eastAsia="Arial" w:hAnsi="Arial"/>
          <w:b w:val="false"/>
          <w:bCs w:val="false"/>
          <w:color w:val="000000"/>
          <w:sz w:val="22"/>
          <w:szCs w:val="22"/>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categoría normal, consistente con poblaciones referidas por sospecha de síndrome de apnea obstructiva del sueño (SAOS).</w:t>
      </w:r>
    </w:p>
    <w:p>
      <w:pPr>
        <w:spacing w:after="160" w:before="0" w:line="360"/>
        <w:jc w:val="both"/>
      </w:pPr>
      <w:r>
        <w:rPr>
          <w:rFonts w:ascii="Arial" w:cs="Arial" w:eastAsia="Arial" w:hAnsi="Arial"/>
          <w:b w:val="false"/>
          <w:bCs w:val="false"/>
          <w:color w:val="000000"/>
          <w:sz w:val="22"/>
          <w:szCs w:val="22"/>
        </w:rPr>
        <w:t xml:space="preserve">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pPr>
        <w:pStyle w:val="Heading3"/>
        <w:spacing w:after="120" w:before="280"/>
        <w:jc w:val="left"/>
      </w:pPr>
      <w:r>
        <w:rPr>
          <w:rFonts w:ascii="Arial" w:cs="Arial" w:eastAsia="Arial" w:hAnsi="Arial"/>
          <w:b/>
          <w:bCs/>
          <w:color w:val="1E3A5F"/>
          <w:sz w:val="24"/>
          <w:szCs w:val="24"/>
        </w:rPr>
        <w:t xml:space="preserve">3.2.2  Dispositivo SOMNI 6000</w:t>
      </w:r>
    </w:p>
    <w:p>
      <w:pPr>
        <w:spacing w:after="160" w:before="0" w:line="360"/>
        <w:jc w:val="both"/>
      </w:pPr>
      <w:r>
        <w:rPr>
          <w:rFonts w:ascii="Arial" w:cs="Arial" w:eastAsia="Arial" w:hAnsi="Arial"/>
          <w:b w:val="false"/>
          <w:bCs w:val="false"/>
          <w:color w:val="000000"/>
          <w:sz w:val="22"/>
          <w:szCs w:val="22"/>
        </w:rPr>
        <w:t xml:space="preserve">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w:t>
      </w:r>
      <w:r>
        <w:rPr>
          <w:rFonts w:ascii="Arial" w:cs="Arial" w:eastAsia="Arial" w:hAnsi="Arial"/>
          <w:b w:val="false"/>
          <w:bCs w:val="false"/>
          <w:color w:val="000000"/>
          <w:sz w:val="22"/>
          <w:szCs w:val="22"/>
        </w:rPr>
        <w:t xml:space="preserve">proxy</w:t>
      </w:r>
      <w:r>
        <w:rPr>
          <w:rFonts w:ascii="Arial" w:cs="Arial" w:eastAsia="Arial" w:hAnsi="Arial"/>
          <w:b w:val="false"/>
          <w:bCs w:val="false"/>
          <w:color w:val="000000"/>
          <w:sz w:val="22"/>
          <w:szCs w:val="22"/>
        </w:rPr>
        <w:t xml:space="preserve"> de movimiento y agitación motora (MOV, unidades arbitrarias). La transmisión de datos se realiza por Bluetooth LE hacia un dispositivo móvil. La duración media del registro por noche en la cohorte fue de 5,8 ± 1,5 horas.</w:t>
      </w:r>
    </w:p>
    <w:p>
      <w:pPr>
        <w:spacing w:after="160" w:before="0" w:line="360"/>
        <w:jc w:val="both"/>
      </w:pPr>
      <w:r>
        <w:rPr>
          <w:rFonts w:ascii="Arial" w:cs="Arial" w:eastAsia="Arial" w:hAnsi="Arial"/>
          <w:b w:val="false"/>
          <w:bCs w:val="false"/>
          <w:color w:val="000000"/>
          <w:sz w:val="22"/>
          <w:szCs w:val="22"/>
        </w:rPr>
        <w:t xml:space="preserve">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w:t>
      </w:r>
      <w:r>
        <w:rPr>
          <w:rFonts w:ascii="Arial" w:cs="Arial" w:eastAsia="Arial" w:hAnsi="Arial"/>
          <w:b w:val="false"/>
          <w:bCs w:val="false"/>
          <w:color w:val="000000"/>
          <w:sz w:val="22"/>
          <w:szCs w:val="22"/>
        </w:rPr>
        <w:t xml:space="preserve">arousals</w:t>
      </w:r>
      <w:r>
        <w:rPr>
          <w:rFonts w:ascii="Arial" w:cs="Arial" w:eastAsia="Arial" w:hAnsi="Arial"/>
          <w:b w:val="false"/>
          <w:bCs w:val="false"/>
          <w:color w:val="000000"/>
          <w:sz w:val="22"/>
          <w:szCs w:val="22"/>
        </w:rPr>
        <w:t xml:space="preserve"> motores y silencio postural.</w:t>
      </w:r>
    </w:p>
    <w:p>
      <w:pPr>
        <w:pStyle w:val="Heading3"/>
        <w:spacing w:after="120" w:before="280"/>
        <w:jc w:val="left"/>
      </w:pPr>
      <w:r>
        <w:rPr>
          <w:rFonts w:ascii="Arial" w:cs="Arial" w:eastAsia="Arial" w:hAnsi="Arial"/>
          <w:b/>
          <w:bCs/>
          <w:color w:val="1E3A5F"/>
          <w:sz w:val="24"/>
          <w:szCs w:val="24"/>
        </w:rPr>
        <w:t xml:space="preserve">3.2.3  Protocolo de adquisición</w:t>
      </w:r>
    </w:p>
    <w:p>
      <w:pPr>
        <w:spacing w:after="160" w:before="0" w:line="360"/>
        <w:jc w:val="both"/>
      </w:pPr>
      <w:r>
        <w:rPr>
          <w:rFonts w:ascii="Arial" w:cs="Arial" w:eastAsia="Arial" w:hAnsi="Arial"/>
          <w:b w:val="false"/>
          <w:bCs w:val="false"/>
          <w:color w:val="000000"/>
          <w:sz w:val="22"/>
          <w:szCs w:val="22"/>
        </w:rPr>
        <w:t xml:space="preserve">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w:t>
      </w:r>
      <w:r>
        <w:rPr>
          <w:rFonts w:ascii="Arial" w:cs="Arial" w:eastAsia="Arial" w:hAnsi="Arial"/>
          <w:b w:val="false"/>
          <w:bCs w:val="false"/>
          <w:color w:val="000000"/>
          <w:sz w:val="22"/>
          <w:szCs w:val="22"/>
        </w:rPr>
        <w:t xml:space="preserve">primera noche</w:t>
      </w:r>
      <w:r>
        <w:rPr>
          <w:rFonts w:ascii="Arial" w:cs="Arial" w:eastAsia="Arial" w:hAnsi="Arial"/>
          <w:b w:val="false"/>
          <w:bCs w:val="false"/>
          <w:color w:val="000000"/>
          <w:sz w:val="22"/>
          <w:szCs w:val="22"/>
        </w:rPr>
        <w:t xml:space="preserv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pPr>
        <w:pStyle w:val="Heading2"/>
        <w:spacing w:after="160" w:before="360"/>
        <w:jc w:val="left"/>
      </w:pPr>
      <w:r>
        <w:rPr>
          <w:rFonts w:ascii="Arial" w:cs="Arial" w:eastAsia="Arial" w:hAnsi="Arial"/>
          <w:b/>
          <w:bCs/>
          <w:color w:val="1E3A5F"/>
          <w:sz w:val="28"/>
          <w:szCs w:val="28"/>
        </w:rPr>
        <w:t xml:space="preserve">3.3  Pipeline PAC_v3: arquitectura de procesamiento</w:t>
      </w:r>
    </w:p>
    <w:p>
      <w:pPr>
        <w:pStyle w:val="Heading3"/>
        <w:spacing w:after="120" w:before="280"/>
        <w:jc w:val="left"/>
      </w:pPr>
      <w:r>
        <w:rPr>
          <w:rFonts w:ascii="Arial" w:cs="Arial" w:eastAsia="Arial" w:hAnsi="Arial"/>
          <w:b/>
          <w:bCs/>
          <w:color w:val="1E3A5F"/>
          <w:sz w:val="24"/>
          <w:szCs w:val="24"/>
        </w:rPr>
        <w:t xml:space="preserve">3.3.1  Visión general</w:t>
      </w:r>
    </w:p>
    <w:p>
      <w:pPr>
        <w:spacing w:after="160" w:before="0" w:line="360"/>
        <w:jc w:val="both"/>
      </w:pPr>
      <w:r>
        <w:rPr>
          <w:rFonts w:ascii="Arial" w:cs="Arial" w:eastAsia="Arial" w:hAnsi="Arial"/>
          <w:b w:val="false"/>
          <w:bCs w:val="false"/>
          <w:color w:val="000000"/>
          <w:sz w:val="22"/>
          <w:szCs w:val="22"/>
        </w:rPr>
        <w:t xml:space="preserve">PAC_v3</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Proyecto Análisis Continuo</w:t>
      </w:r>
      <w:r>
        <w:rPr>
          <w:rFonts w:ascii="Arial" w:cs="Arial" w:eastAsia="Arial" w:hAnsi="Arial"/>
          <w:b w:val="false"/>
          <w:bCs w:val="false"/>
          <w:color w:val="000000"/>
          <w:sz w:val="22"/>
          <w:szCs w:val="22"/>
        </w:rPr>
        <w:t xml:space="preserve">, versión 3)</w:t>
      </w:r>
      <w:r>
        <w:rPr>
          <w:rFonts w:ascii="Arial" w:cs="Arial" w:eastAsia="Arial" w:hAnsi="Arial"/>
          <w:b w:val="false"/>
          <w:bCs w:val="false"/>
          <w:color w:val="000000"/>
          <w:sz w:val="22"/>
          <w:szCs w:val="22"/>
        </w:rPr>
        <w:t xml:space="preserve"> es el pipeline de procesamiento desarrollado </w:t>
      </w:r>
      <w:r>
        <w:rPr>
          <w:rFonts w:ascii="Arial" w:cs="Arial" w:eastAsia="Arial" w:hAnsi="Arial"/>
          <w:b w:val="false"/>
          <w:bCs w:val="false"/>
          <w:color w:val="000000"/>
          <w:sz w:val="22"/>
          <w:szCs w:val="22"/>
        </w:rPr>
        <w:t xml:space="preserve">ad hoc</w:t>
      </w:r>
      <w:r>
        <w:rPr>
          <w:rFonts w:ascii="Arial" w:cs="Arial" w:eastAsia="Arial" w:hAnsi="Arial"/>
          <w:b w:val="false"/>
          <w:bCs w:val="false"/>
          <w:color w:val="000000"/>
          <w:sz w:val="22"/>
          <w:szCs w:val="22"/>
        </w:rPr>
        <w:t xml:space="preserve"> para esta tesis. Su objetivo clínico es construir una caracterización dinámica y fenotípica del sueño a partir de señales de oximetría domiciliaria, superando los índices agregados clásicos del SAOS. El diseño sigue una arquitectura </w:t>
      </w:r>
      <w:r>
        <w:rPr>
          <w:rFonts w:ascii="Arial" w:cs="Arial" w:eastAsia="Arial" w:hAnsi="Arial"/>
          <w:b w:val="false"/>
          <w:bCs w:val="false"/>
          <w:color w:val="000000"/>
          <w:sz w:val="22"/>
          <w:szCs w:val="22"/>
        </w:rPr>
        <w:t xml:space="preserve">medallion</w:t>
      </w:r>
      <w:r>
        <w:rPr>
          <w:rFonts w:ascii="Arial" w:cs="Arial" w:eastAsia="Arial" w:hAnsi="Arial"/>
          <w:b w:val="false"/>
          <w:bCs w:val="false"/>
          <w:color w:val="000000"/>
          <w:sz w:val="22"/>
          <w:szCs w:val="22"/>
        </w:rPr>
        <w:t xml:space="preserve"> de cuatro capas de datos progresivamente enriquecidos:</w:t>
      </w:r>
    </w:p>
    <w:p>
      <w:pPr>
        <w:spacing w:after="160" w:before="160"/>
        <w:jc w:val="center"/>
      </w:pPr>
      <w:r>
        <w:rPr>
          <w:rFonts w:ascii="Arial" w:cs="Arial" w:eastAsia="Arial" w:hAnsi="Arial"/>
          <w:b/>
          <w:bCs/>
          <w:color w:val="1E3A5F"/>
          <w:sz w:val="22"/>
          <w:szCs w:val="22"/>
        </w:rPr>
        <w:t xml:space="preserve">Bronze  →  Silver  →  Events  →  Gold</w:t>
      </w:r>
    </w:p>
    <w:p>
      <w:pPr>
        <w:spacing w:after="160" w:before="0" w:line="360"/>
        <w:jc w:val="both"/>
      </w:pPr>
      <w:r>
        <w:rPr>
          <w:rFonts w:ascii="Arial" w:cs="Arial" w:eastAsia="Arial" w:hAnsi="Arial"/>
          <w:b w:val="false"/>
          <w:bCs w:val="false"/>
          <w:color w:val="000000"/>
          <w:sz w:val="22"/>
          <w:szCs w:val="22"/>
        </w:rPr>
        <w:t xml:space="preserve">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pPr>
        <w:spacing w:after="160" w:before="0" w:line="360"/>
        <w:jc w:val="both"/>
      </w:pPr>
      <w:r>
        <w:rPr>
          <w:rFonts w:ascii="Arial" w:cs="Arial" w:eastAsia="Arial" w:hAnsi="Arial"/>
          <w:b w:val="false"/>
          <w:bCs w:val="false"/>
          <w:color w:val="000000"/>
          <w:sz w:val="22"/>
          <w:szCs w:val="22"/>
        </w:rPr>
        <w:t xml:space="preserve">Un orquestador incremental supervisa la consistencia entre capas: detecta automáticamente qué noches o etapas quedaron obsoletas ante cambios en </w:t>
      </w:r>
      <w:r>
        <w:rPr>
          <w:rFonts w:ascii="Arial" w:cs="Arial" w:eastAsia="Arial" w:hAnsi="Arial"/>
          <w:b w:val="false"/>
          <w:bCs w:val="false"/>
          <w:color w:val="000000"/>
          <w:sz w:val="22"/>
          <w:szCs w:val="22"/>
        </w:rPr>
        <w:t xml:space="preserve">inputs</w:t>
      </w:r>
      <w:r>
        <w:rPr>
          <w:rFonts w:ascii="Arial" w:cs="Arial" w:eastAsia="Arial" w:hAnsi="Arial"/>
          <w:b w:val="false"/>
          <w:bCs w:val="false"/>
          <w:color w:val="000000"/>
          <w:sz w:val="22"/>
          <w:szCs w:val="22"/>
        </w:rPr>
        <w:t xml:space="preserve">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pPr>
        <w:pStyle w:val="Heading3"/>
        <w:spacing w:after="120" w:before="280"/>
        <w:jc w:val="left"/>
      </w:pPr>
      <w:r>
        <w:rPr>
          <w:rFonts w:ascii="Arial" w:cs="Arial" w:eastAsia="Arial" w:hAnsi="Arial"/>
          <w:b/>
          <w:bCs/>
          <w:color w:val="1E3A5F"/>
          <w:sz w:val="24"/>
          <w:szCs w:val="24"/>
        </w:rPr>
        <w:t xml:space="preserve">3.3.2  Capa Bronze: ingesta y trazabilidad</w:t>
      </w:r>
    </w:p>
    <w:p>
      <w:pPr>
        <w:spacing w:after="160" w:before="0" w:line="360"/>
        <w:jc w:val="both"/>
      </w:pPr>
      <w:r>
        <w:rPr>
          <w:rFonts w:ascii="Arial" w:cs="Arial" w:eastAsia="Arial" w:hAnsi="Arial"/>
          <w:b w:val="false"/>
          <w:bCs w:val="false"/>
          <w:color w:val="000000"/>
          <w:sz w:val="22"/>
          <w:szCs w:val="22"/>
        </w:rPr>
        <w:t xml:space="preserve">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pPr>
        <w:spacing w:after="160" w:before="0" w:line="360"/>
        <w:jc w:val="both"/>
      </w:pPr>
      <w:r>
        <w:rPr>
          <w:rFonts w:ascii="Arial" w:cs="Arial" w:eastAsia="Arial" w:hAnsi="Arial"/>
          <w:b w:val="false"/>
          <w:bCs w:val="false"/>
          <w:color w:val="000000"/>
          <w:sz w:val="22"/>
          <w:szCs w:val="22"/>
        </w:rPr>
        <w:t xml:space="preserve">Un componente de auto-registro detecta participantes cuyo identificador no existe en el registro de pacientes y crea entradas </w:t>
      </w:r>
      <w:r>
        <w:rPr>
          <w:rFonts w:ascii="Arial" w:cs="Arial" w:eastAsia="Arial" w:hAnsi="Arial"/>
          <w:b w:val="false"/>
          <w:bCs w:val="false"/>
          <w:color w:val="000000"/>
          <w:sz w:val="22"/>
          <w:szCs w:val="22"/>
        </w:rPr>
        <w:t xml:space="preserve">stub</w:t>
      </w:r>
      <w:r>
        <w:rPr>
          <w:rFonts w:ascii="Arial" w:cs="Arial" w:eastAsia="Arial" w:hAnsi="Arial"/>
          <w:b w:val="false"/>
          <w:bCs w:val="false"/>
          <w:color w:val="000000"/>
          <w:sz w:val="22"/>
          <w:szCs w:val="22"/>
        </w:rPr>
        <w:t xml:space="preserve"> para permitir el procesamiento sin interrupción; el investigador completa los datos clínicos de forma manual </w:t>
      </w:r>
      <w:r>
        <w:rPr>
          <w:rFonts w:ascii="Arial" w:cs="Arial" w:eastAsia="Arial" w:hAnsi="Arial"/>
          <w:b w:val="false"/>
          <w:bCs w:val="false"/>
          <w:color w:val="000000"/>
          <w:sz w:val="22"/>
          <w:szCs w:val="22"/>
        </w:rPr>
        <w:t xml:space="preserve">a posteriori</w:t>
      </w:r>
      <w:r>
        <w:rPr>
          <w:rFonts w:ascii="Arial" w:cs="Arial" w:eastAsia="Arial" w:hAnsi="Arial"/>
          <w:b w:val="false"/>
          <w:bCs w:val="false"/>
          <w:color w:val="000000"/>
          <w:sz w:val="22"/>
          <w:szCs w:val="22"/>
        </w:rPr>
        <w:t xml:space="preserve">. La capa Bronze es la única que accede a los archivos originales; todas las etapas analíticas consumen exclusivamente los datos canónicas de las capas superiores. Los reportes de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documentan el resultado de cada corrida con distribuciones de duración y gaps de señal para auditoría.</w:t>
      </w:r>
    </w:p>
    <w:p>
      <w:pPr>
        <w:pStyle w:val="Heading3"/>
        <w:spacing w:after="120" w:before="280"/>
        <w:jc w:val="left"/>
      </w:pPr>
      <w:r>
        <w:rPr>
          <w:rFonts w:ascii="Arial" w:cs="Arial" w:eastAsia="Arial" w:hAnsi="Arial"/>
          <w:b/>
          <w:bCs/>
          <w:color w:val="1E3A5F"/>
          <w:sz w:val="24"/>
          <w:szCs w:val="24"/>
        </w:rPr>
        <w:t xml:space="preserve">3.3.3  Capa Silver: control de calidad de señal</w:t>
      </w:r>
    </w:p>
    <w:p>
      <w:pPr>
        <w:spacing w:after="160" w:before="0" w:line="360"/>
        <w:jc w:val="both"/>
      </w:pPr>
      <w:r>
        <w:rPr>
          <w:rFonts w:ascii="Arial" w:cs="Arial" w:eastAsia="Arial" w:hAnsi="Arial"/>
          <w:b w:val="false"/>
          <w:bCs w:val="false"/>
          <w:color w:val="000000"/>
          <w:sz w:val="22"/>
          <w:szCs w:val="22"/>
        </w:rPr>
        <w:t xml:space="preserve">Silver aplica control de calidad sobre las señales canónicas de Bronze sin excluir noches: su principio es marcar con flags los problemas detectados y dejar las decisiones de inclusión en la cohorte a la capa Gold. Se aplican cuatro familias de verificaciones:</w:t>
      </w:r>
    </w:p>
    <w:p>
      <w:pPr>
        <w:spacing w:after="160" w:before="0" w:line="360"/>
        <w:jc w:val="both"/>
      </w:pPr>
      <w:r>
        <w:rPr>
          <w:rFonts w:ascii="Arial" w:cs="Arial" w:eastAsia="Arial" w:hAnsi="Arial"/>
          <w:b/>
          <w:bCs/>
          <w:color w:val="000000"/>
          <w:sz w:val="22"/>
          <w:szCs w:val="22"/>
        </w:rPr>
        <w:t xml:space="preserve">Rango fisiológico</w:t>
      </w:r>
      <w:r>
        <w:rPr>
          <w:rFonts w:ascii="Arial" w:cs="Arial" w:eastAsia="Arial" w:hAnsi="Arial"/>
          <w:b w:val="false"/>
          <w:bCs w:val="false"/>
          <w:color w:val="000000"/>
          <w:sz w:val="22"/>
          <w:szCs w:val="22"/>
        </w:rPr>
        <w:t xml:space="preserve">: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pPr>
        <w:spacing w:after="160" w:before="0" w:line="360"/>
        <w:jc w:val="both"/>
      </w:pPr>
      <w:r>
        <w:rPr>
          <w:rFonts w:ascii="Arial" w:cs="Arial" w:eastAsia="Arial" w:hAnsi="Arial"/>
          <w:b/>
          <w:bCs/>
          <w:color w:val="000000"/>
          <w:sz w:val="22"/>
          <w:szCs w:val="22"/>
        </w:rPr>
        <w:t xml:space="preserve">Cobertura temporal</w:t>
      </w:r>
      <w:r>
        <w:rPr>
          <w:rFonts w:ascii="Arial" w:cs="Arial" w:eastAsia="Arial" w:hAnsi="Arial"/>
          <w:b w:val="false"/>
          <w:bCs w:val="false"/>
          <w:color w:val="000000"/>
          <w:sz w:val="22"/>
          <w:szCs w:val="22"/>
        </w:rPr>
        <w:t xml:space="preserve">: se calcula el cociente entre muestras válidas y duración esperada (cobertura ≥ 90% como umbral de inclusión en la cohorte estricta) y el mayor salto temporal continuo (</w:t>
      </w:r>
      <w:r>
        <w:rPr>
          <w:rFonts w:ascii="Arial" w:cs="Arial" w:eastAsia="Arial" w:hAnsi="Arial"/>
          <w:b w:val="false"/>
          <w:bCs w:val="false"/>
          <w:color w:val="000000"/>
          <w:sz w:val="22"/>
          <w:szCs w:val="22"/>
        </w:rPr>
        <w:t xml:space="preserve">max_contiguous_gap_s</w:t>
      </w:r>
      <w:r>
        <w:rPr>
          <w:rFonts w:ascii="Arial" w:cs="Arial" w:eastAsia="Arial" w:hAnsi="Arial"/>
          <w:b w:val="false"/>
          <w:bCs w:val="false"/>
          <w:color w:val="000000"/>
          <w:sz w:val="22"/>
          <w:szCs w:val="22"/>
        </w:rPr>
        <w:t xml:space="preserve">; umbral operacional: 1800 s = 30 min). Un gap largo es cualitativamente distinto de muchos gaps pequeños, razón por la que ambas métricas se calculan de forma independiente.</w:t>
      </w:r>
    </w:p>
    <w:p>
      <w:pPr>
        <w:spacing w:after="160" w:before="0" w:line="360"/>
        <w:jc w:val="both"/>
      </w:pPr>
      <w:r>
        <w:rPr>
          <w:rFonts w:ascii="Arial" w:cs="Arial" w:eastAsia="Arial" w:hAnsi="Arial"/>
          <w:b/>
          <w:bCs/>
          <w:color w:val="000000"/>
          <w:sz w:val="22"/>
          <w:szCs w:val="22"/>
        </w:rPr>
        <w:t xml:space="preserve">Duración mínima</w:t>
      </w:r>
      <w:r>
        <w:rPr>
          <w:rFonts w:ascii="Arial" w:cs="Arial" w:eastAsia="Arial" w:hAnsi="Arial"/>
          <w:b w:val="false"/>
          <w:bCs w:val="false"/>
          <w:color w:val="000000"/>
          <w:sz w:val="22"/>
          <w:szCs w:val="22"/>
        </w:rPr>
        <w:t xml:space="preserve">: se generan dos flags ordenados por inclusión (relación de subconjunto): noches abortadas (&lt; 1 h) ⊆ noches cortas (&lt; 3 h). Las noches abortadas presentan típicamente señales inestables por falta de tiempo de estabilización del sensor.</w:t>
      </w:r>
    </w:p>
    <w:p>
      <w:pPr>
        <w:spacing w:after="160" w:before="0" w:line="360"/>
        <w:jc w:val="both"/>
      </w:pPr>
      <w:r>
        <w:rPr>
          <w:rFonts w:ascii="Arial" w:cs="Arial" w:eastAsia="Arial" w:hAnsi="Arial"/>
          <w:b w:val="false"/>
          <w:bCs w:val="false"/>
          <w:color w:val="000000"/>
          <w:sz w:val="22"/>
          <w:szCs w:val="22"/>
        </w:rPr>
        <w:t xml:space="preserve">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pPr>
        <w:pStyle w:val="Heading3"/>
        <w:spacing w:after="120" w:before="280"/>
        <w:jc w:val="left"/>
      </w:pPr>
      <w:r>
        <w:rPr>
          <w:rFonts w:ascii="Arial" w:cs="Arial" w:eastAsia="Arial" w:hAnsi="Arial"/>
          <w:b/>
          <w:bCs/>
          <w:color w:val="1E3A5F"/>
          <w:sz w:val="24"/>
          <w:szCs w:val="24"/>
        </w:rPr>
        <w:t xml:space="preserve">3.3.4  Capa Events: detección y caracterización de EDOs</w:t>
      </w:r>
    </w:p>
    <w:p>
      <w:pPr>
        <w:spacing w:after="160" w:before="0" w:line="360"/>
        <w:jc w:val="both"/>
      </w:pPr>
      <w:r>
        <w:rPr>
          <w:rFonts w:ascii="Arial" w:cs="Arial" w:eastAsia="Arial" w:hAnsi="Arial"/>
          <w:b w:val="false"/>
          <w:bCs w:val="false"/>
          <w:color w:val="000000"/>
          <w:sz w:val="22"/>
          <w:szCs w:val="22"/>
        </w:rPr>
        <w:t xml:space="preserve">La capa Events produce el corpus de Eventos de Desaturación de Oxígeno (EDOs), unidad de análisis central de la tesis. La detección opera en tres pasos sobre la señal spo2_clean (QC-validada de Silver):</w:t>
      </w:r>
    </w:p>
    <w:p>
      <w:pPr>
        <w:spacing w:after="160" w:before="0" w:line="360"/>
        <w:jc w:val="both"/>
      </w:pPr>
      <w:r>
        <w:rPr>
          <w:rFonts w:ascii="Arial" w:cs="Arial" w:eastAsia="Arial" w:hAnsi="Arial"/>
          <w:b/>
          <w:bCs/>
          <w:color w:val="000000"/>
          <w:sz w:val="22"/>
          <w:szCs w:val="22"/>
        </w:rPr>
        <w:t xml:space="preserve">Baseline móvil</w:t>
      </w:r>
      <w:r>
        <w:rPr>
          <w:rFonts w:ascii="Arial" w:cs="Arial" w:eastAsia="Arial" w:hAnsi="Arial"/>
          <w:b w:val="false"/>
          <w:bCs w:val="false"/>
          <w:color w:val="000000"/>
          <w:sz w:val="22"/>
          <w:szCs w:val="22"/>
        </w:rPr>
        <w:t xml:space="preserve">: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pPr>
        <w:spacing w:after="160" w:before="0" w:line="360"/>
        <w:jc w:val="both"/>
      </w:pPr>
      <w:r>
        <w:rPr>
          <w:rFonts w:ascii="Arial" w:cs="Arial" w:eastAsia="Arial" w:hAnsi="Arial"/>
          <w:b/>
          <w:bCs/>
          <w:color w:val="000000"/>
          <w:sz w:val="22"/>
          <w:szCs w:val="22"/>
        </w:rPr>
        <w:t xml:space="preserve">Detección de candidatos</w:t>
      </w:r>
      <w:r>
        <w:rPr>
          <w:rFonts w:ascii="Arial" w:cs="Arial" w:eastAsia="Arial" w:hAnsi="Arial"/>
          <w:b w:val="false"/>
          <w:bCs w:val="false"/>
          <w:color w:val="000000"/>
          <w:sz w:val="22"/>
          <w:szCs w:val="22"/>
        </w:rPr>
        <w:t xml:space="preserve">: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pPr>
        <w:spacing w:after="160" w:before="0" w:line="360"/>
        <w:jc w:val="both"/>
      </w:pPr>
      <w:r>
        <w:rPr>
          <w:rFonts w:ascii="Arial" w:cs="Arial" w:eastAsia="Arial" w:hAnsi="Arial"/>
          <w:b/>
          <w:bCs/>
          <w:color w:val="000000"/>
          <w:sz w:val="22"/>
          <w:szCs w:val="22"/>
        </w:rPr>
        <w:t xml:space="preserve">Caracterización geométrica</w:t>
      </w:r>
      <w:r>
        <w:rPr>
          <w:rFonts w:ascii="Arial" w:cs="Arial" w:eastAsia="Arial" w:hAnsi="Arial"/>
          <w:b w:val="false"/>
          <w:bCs w:val="false"/>
          <w:color w:val="000000"/>
          <w:sz w:val="22"/>
          <w:szCs w:val="22"/>
        </w:rPr>
        <w:t xml:space="preserve">: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pPr>
        <w:spacing w:after="160" w:before="0" w:line="360"/>
        <w:jc w:val="both"/>
      </w:pPr>
      <w:r>
        <w:rPr>
          <w:rFonts w:ascii="Arial" w:cs="Arial" w:eastAsia="Arial" w:hAnsi="Arial"/>
          <w:b w:val="false"/>
          <w:bCs w:val="false"/>
          <w:color w:val="000000"/>
          <w:sz w:val="22"/>
          <w:szCs w:val="22"/>
        </w:rPr>
        <w:t xml:space="preserve">La validación cuantitativa del pipeline se realiza comparando los índices calculados por PAC_v3 contra los índices pre-computados por el firmware del dispositivo, disponibles en el sidecar </w:t>
      </w:r>
      <w:r>
        <w:rPr>
          <w:rFonts w:ascii="Arial" w:cs="Arial" w:eastAsia="Arial" w:hAnsi="Arial"/>
          <w:b w:val="false"/>
          <w:bCs w:val="false"/>
          <w:color w:val="000000"/>
          <w:sz w:val="22"/>
          <w:szCs w:val="22"/>
        </w:rPr>
        <w:t xml:space="preserve">classical</w:t>
      </w:r>
      <w:r>
        <w:rPr>
          <w:rFonts w:ascii="Arial" w:cs="Arial" w:eastAsia="Arial" w:hAnsi="Arial"/>
          <w:b w:val="false"/>
          <w:bCs w:val="false"/>
          <w:color w:val="000000"/>
          <w:sz w:val="22"/>
          <w:szCs w:val="22"/>
        </w:rPr>
        <w:t xml:space="preserve">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pPr>
        <w:pStyle w:val="Heading3"/>
        <w:spacing w:after="120" w:before="280"/>
        <w:jc w:val="left"/>
      </w:pPr>
      <w:r>
        <w:rPr>
          <w:rFonts w:ascii="Arial" w:cs="Arial" w:eastAsia="Arial" w:hAnsi="Arial"/>
          <w:b/>
          <w:bCs/>
          <w:color w:val="1E3A5F"/>
          <w:sz w:val="24"/>
          <w:szCs w:val="24"/>
        </w:rPr>
        <w:t xml:space="preserve">3.3.5  Índice de Respuesta Autonómica (ARI) por evento</w:t>
      </w:r>
    </w:p>
    <w:p>
      <w:pPr>
        <w:spacing w:after="160" w:before="0" w:line="360"/>
        <w:jc w:val="both"/>
      </w:pPr>
      <w:r>
        <w:rPr>
          <w:rFonts w:ascii="Arial" w:cs="Arial" w:eastAsia="Arial" w:hAnsi="Arial"/>
          <w:b w:val="false"/>
          <w:bCs w:val="false"/>
          <w:color w:val="000000"/>
          <w:sz w:val="22"/>
          <w:szCs w:val="22"/>
        </w:rPr>
        <w:t xml:space="preserve">La capa Events calcula el Índice de Respuesta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w:t>
      </w:r>
      <w:r>
        <w:rPr>
          <w:rFonts w:ascii="Arial" w:cs="Arial" w:eastAsia="Arial" w:hAnsi="Arial"/>
          <w:b w:val="false"/>
          <w:bCs w:val="false"/>
          <w:color w:val="000000"/>
          <w:sz w:val="22"/>
          <w:szCs w:val="22"/>
        </w:rPr>
        <w:t xml:space="preserve">ganancia autonómica</w:t>
      </w:r>
      <w:r>
        <w:rPr>
          <w:rFonts w:ascii="Arial" w:cs="Arial" w:eastAsia="Arial" w:hAnsi="Arial"/>
          <w:b w:val="false"/>
          <w:bCs w:val="false"/>
          <w:color w:val="000000"/>
          <w:sz w:val="22"/>
          <w:szCs w:val="22"/>
        </w:rPr>
        <w:t xml:space="preserve"> de cada evento con independencia de su profundidad. Su fórmula canónica (publicada en T1):</w:t>
      </w:r>
    </w:p>
    <w:p>
      <w:pPr>
        <w:spacing w:after="80" w:before="160"/>
        <w:jc w:val="center"/>
      </w:pPr>
      <w:r>
        <w:rPr>
          <w:rFonts w:ascii="Arial" w:cs="Arial" w:eastAsia="Arial" w:hAnsi="Arial"/>
          <w:sz w:val="22"/>
          <w:szCs w:val="22"/>
        </w:rPr>
        <w:t xml:space="preserve">ARIᵢ  =  0,6 · P(hr_gainᵢ)  +  0,4 · P(mov_gainᵢ)</w:t>
      </w:r>
    </w:p>
    <w:p>
      <w:pPr>
        <w:spacing w:after="0" w:before="40"/>
        <w:ind w:left="720"/>
        <w:jc w:val="left"/>
      </w:pPr>
      <w:r>
        <w:rPr>
          <w:rFonts w:ascii="Courier New" w:cs="Courier New" w:eastAsia="Courier New" w:hAnsi="Courier New"/>
          <w:sz w:val="20"/>
          <w:szCs w:val="20"/>
        </w:rPr>
        <w:t xml:space="preserve">hr_gainᵢ = Δhr_bpmᵢ / drop_pctᵢ</w:t>
      </w:r>
      <w:r>
        <w:rPr>
          <w:rFonts w:ascii="Arial" w:cs="Arial" w:eastAsia="Arial" w:hAnsi="Arial"/>
          <w:sz w:val="20"/>
          <w:szCs w:val="20"/>
        </w:rPr>
        <w:t xml:space="preserve">   (incremento de FC en lpm dividido por la profundidad de caída de SpO₂ en pp)</w:t>
      </w:r>
    </w:p>
    <w:p>
      <w:pPr>
        <w:spacing w:after="0" w:before="0"/>
        <w:ind w:left="720"/>
        <w:jc w:val="left"/>
      </w:pPr>
      <w:r>
        <w:rPr>
          <w:rFonts w:ascii="Courier New" w:cs="Courier New" w:eastAsia="Courier New" w:hAnsi="Courier New"/>
          <w:sz w:val="20"/>
          <w:szCs w:val="20"/>
        </w:rPr>
        <w:t xml:space="preserve">mov_gainᵢ = (peak_movᵢ − baseline_movᵢ) / drop_pctᵢ</w:t>
      </w:r>
      <w:r>
        <w:rPr>
          <w:rFonts w:ascii="Arial" w:cs="Arial" w:eastAsia="Arial" w:hAnsi="Arial"/>
          <w:sz w:val="20"/>
          <w:szCs w:val="20"/>
        </w:rPr>
        <w:t xml:space="preserve">   (incremento de MOV relativo a la caída de SpO₂)</w:t>
      </w:r>
    </w:p>
    <w:p>
      <w:pPr>
        <w:spacing w:after="160" w:before="0"/>
        <w:ind w:left="720"/>
        <w:jc w:val="left"/>
      </w:pPr>
      <w:r>
        <w:rPr>
          <w:rFonts w:ascii="Courier New" w:cs="Courier New" w:eastAsia="Courier New" w:hAnsi="Courier New"/>
          <w:sz w:val="20"/>
          <w:szCs w:val="20"/>
        </w:rPr>
        <w:t xml:space="preserve">P(·) = rankdata / N</w:t>
      </w:r>
      <w:r>
        <w:rPr>
          <w:rFonts w:ascii="Arial" w:cs="Arial" w:eastAsia="Arial" w:hAnsi="Arial"/>
          <w:sz w:val="20"/>
          <w:szCs w:val="20"/>
        </w:rPr>
        <w:t xml:space="preserve">   (rango percentil en el corpus; N = 85.277 EDOs quality)</w:t>
      </w:r>
    </w:p>
    <w:p>
      <w:pPr>
        <w:spacing w:after="160" w:before="0" w:line="360"/>
        <w:jc w:val="both"/>
      </w:pPr>
      <w:r>
        <w:rPr>
          <w:rFonts w:ascii="Arial" w:cs="Arial" w:eastAsia="Arial" w:hAnsi="Arial"/>
          <w:b w:val="false"/>
          <w:bCs w:val="false"/>
          <w:color w:val="000000"/>
          <w:sz w:val="22"/>
          <w:szCs w:val="22"/>
        </w:rPr>
        <w:t xml:space="preserve">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pPr>
        <w:pStyle w:val="Heading3"/>
        <w:spacing w:after="120" w:before="280"/>
        <w:jc w:val="left"/>
      </w:pPr>
      <w:r>
        <w:rPr>
          <w:rFonts w:ascii="Arial" w:cs="Arial" w:eastAsia="Arial" w:hAnsi="Arial"/>
          <w:b/>
          <w:bCs/>
          <w:color w:val="1E3A5F"/>
          <w:sz w:val="24"/>
          <w:szCs w:val="24"/>
        </w:rPr>
        <w:t xml:space="preserve">3.3.6  Capa Gold: consolidación analítica</w:t>
      </w:r>
    </w:p>
    <w:p>
      <w:pPr>
        <w:spacing w:after="160" w:before="0" w:line="360"/>
        <w:jc w:val="both"/>
      </w:pPr>
      <w:r>
        <w:rPr>
          <w:rFonts w:ascii="Arial" w:cs="Arial" w:eastAsia="Arial" w:hAnsi="Arial"/>
          <w:b w:val="false"/>
          <w:bCs w:val="false"/>
          <w:color w:val="000000"/>
          <w:sz w:val="22"/>
          <w:szCs w:val="22"/>
        </w:rPr>
        <w:t xml:space="preserve">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pPr>
        <w:spacing w:after="160" w:before="0" w:line="360"/>
        <w:jc w:val="both"/>
      </w:pPr>
      <w:r>
        <w:rPr>
          <w:rFonts w:ascii="Arial" w:cs="Arial" w:eastAsia="Arial" w:hAnsi="Arial"/>
          <w:b/>
          <w:bCs/>
          <w:color w:val="000000"/>
          <w:sz w:val="22"/>
          <w:szCs w:val="22"/>
        </w:rPr>
        <w:t xml:space="preserve">events.parquet</w:t>
      </w:r>
      <w:r>
        <w:rPr>
          <w:rFonts w:ascii="Arial" w:cs="Arial" w:eastAsia="Arial" w:hAnsi="Arial"/>
          <w:b w:val="false"/>
          <w:bCs w:val="false"/>
          <w:color w:val="000000"/>
          <w:sz w:val="22"/>
          <w:szCs w:val="22"/>
        </w:rPr>
        <w:t xml:space="preserve">: una fila por EDO (85.277 filas), con las 25+ features morfológicas, morfotipo asignado, flags de cohorte y trazabilidad de modelo. Tabla de entrada para los análisis de Nivel 1 (evento).</w:t>
      </w:r>
    </w:p>
    <w:p>
      <w:pPr>
        <w:spacing w:after="160" w:before="0" w:line="360"/>
        <w:jc w:val="both"/>
      </w:pPr>
      <w:r>
        <w:rPr>
          <w:rFonts w:ascii="Arial" w:cs="Arial" w:eastAsia="Arial" w:hAnsi="Arial"/>
          <w:b/>
          <w:bCs/>
          <w:color w:val="000000"/>
          <w:sz w:val="22"/>
          <w:szCs w:val="22"/>
        </w:rPr>
        <w:t xml:space="preserve">events_curves.parquet</w:t>
      </w:r>
      <w:r>
        <w:rPr>
          <w:rFonts w:ascii="Arial" w:cs="Arial" w:eastAsia="Arial" w:hAnsi="Arial"/>
          <w:b w:val="false"/>
          <w:bCs w:val="false"/>
          <w:color w:val="000000"/>
          <w:sz w:val="22"/>
          <w:szCs w:val="22"/>
        </w:rPr>
        <w:t xml:space="preserve">: complementa la tabla anterior con las 30 columnas de serie temporal normalizada de SpO₂ por evento (curve_p00 a curve_p29). Se mantiene separada para no inflar el tamaño de events.parquet.</w:t>
      </w:r>
    </w:p>
    <w:p>
      <w:pPr>
        <w:spacing w:after="160" w:before="0" w:line="360"/>
        <w:jc w:val="both"/>
      </w:pPr>
      <w:r>
        <w:rPr>
          <w:rFonts w:ascii="Arial" w:cs="Arial" w:eastAsia="Arial" w:hAnsi="Arial"/>
          <w:b/>
          <w:bCs/>
          <w:color w:val="000000"/>
          <w:sz w:val="22"/>
          <w:szCs w:val="22"/>
        </w:rPr>
        <w:t xml:space="preserve">states.parquet</w:t>
      </w:r>
      <w:r>
        <w:rPr>
          <w:rFonts w:ascii="Arial" w:cs="Arial" w:eastAsia="Arial" w:hAnsi="Arial"/>
          <w:b w:val="false"/>
          <w:bCs w:val="false"/>
          <w:color w:val="000000"/>
          <w:sz w:val="22"/>
          <w:szCs w:val="22"/>
        </w:rPr>
        <w:t xml:space="preserve">: una fila por ventana temporal con etiquetas de estado PAC a las tres escalas y un subconjunto de las 24 features de ventana. Tabla de entrada para los análisis de cadenas de Markov y trayectorias nocturnas.</w:t>
      </w:r>
    </w:p>
    <w:p>
      <w:pPr>
        <w:spacing w:after="160" w:before="0" w:line="360"/>
        <w:jc w:val="both"/>
      </w:pPr>
      <w:r>
        <w:rPr>
          <w:rFonts w:ascii="Arial" w:cs="Arial" w:eastAsia="Arial" w:hAnsi="Arial"/>
          <w:b/>
          <w:bCs/>
          <w:color w:val="000000"/>
          <w:sz w:val="22"/>
          <w:szCs w:val="22"/>
        </w:rPr>
        <w:t xml:space="preserve">nights.parquet</w:t>
      </w:r>
      <w:r>
        <w:rPr>
          <w:rFonts w:ascii="Arial" w:cs="Arial" w:eastAsia="Arial" w:hAnsi="Arial"/>
          <w:b w:val="false"/>
          <w:bCs w:val="false"/>
          <w:color w:val="000000"/>
          <w:sz w:val="22"/>
          <w:szCs w:val="22"/>
        </w:rPr>
        <w:t xml:space="preserve">: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pPr>
        <w:spacing w:after="160" w:before="0" w:line="360"/>
        <w:jc w:val="both"/>
      </w:pPr>
      <w:r>
        <w:rPr>
          <w:rFonts w:ascii="Arial" w:cs="Arial" w:eastAsia="Arial" w:hAnsi="Arial"/>
          <w:b/>
          <w:bCs/>
          <w:color w:val="000000"/>
          <w:sz w:val="22"/>
          <w:szCs w:val="22"/>
        </w:rPr>
        <w:t xml:space="preserve">patients.parquet</w:t>
      </w:r>
      <w:r>
        <w:rPr>
          <w:rFonts w:ascii="Arial" w:cs="Arial" w:eastAsia="Arial" w:hAnsi="Arial"/>
          <w:b w:val="false"/>
          <w:bCs w:val="false"/>
          <w:color w:val="000000"/>
          <w:sz w:val="22"/>
          <w:szCs w:val="22"/>
        </w:rPr>
        <w:t xml:space="preserve">: una fila por paciente (12 filas) con estadísticas del perfil longitudinal de cada individuo (medias, desvíos, percentiles de métricas nocturnas). Tabla de entrada para el análisis de fenotipos a nivel de paciente.</w:t>
      </w:r>
    </w:p>
    <w:p>
      <w:pPr>
        <w:pStyle w:val="Heading2"/>
        <w:spacing w:after="160" w:before="360"/>
        <w:jc w:val="left"/>
      </w:pPr>
      <w:r>
        <w:rPr>
          <w:rFonts w:ascii="Arial" w:cs="Arial" w:eastAsia="Arial" w:hAnsi="Arial"/>
          <w:b/>
          <w:bCs/>
          <w:color w:val="1E3A5F"/>
          <w:sz w:val="28"/>
          <w:szCs w:val="28"/>
        </w:rPr>
        <w:t xml:space="preserve">3.4  Fenotipado morfológico de eventos (Nivel 1 — Evento)</w:t>
      </w:r>
    </w:p>
    <w:p>
      <w:pPr>
        <w:spacing w:after="160" w:before="0" w:line="360"/>
        <w:jc w:val="both"/>
      </w:pPr>
      <w:r>
        <w:rPr>
          <w:rFonts w:ascii="Arial" w:cs="Arial" w:eastAsia="Arial" w:hAnsi="Arial"/>
          <w:b w:val="false"/>
          <w:bCs w:val="false"/>
          <w:color w:val="000000"/>
          <w:sz w:val="22"/>
          <w:szCs w:val="22"/>
        </w:rPr>
        <w:t xml:space="preserve">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pPr>
        <w:pStyle w:val="Heading3"/>
        <w:spacing w:after="120" w:before="280"/>
        <w:jc w:val="left"/>
      </w:pPr>
      <w:r>
        <w:rPr>
          <w:rFonts w:ascii="Arial" w:cs="Arial" w:eastAsia="Arial" w:hAnsi="Arial"/>
          <w:b/>
          <w:bCs/>
          <w:color w:val="1E3A5F"/>
          <w:sz w:val="24"/>
          <w:szCs w:val="24"/>
        </w:rPr>
        <w:t xml:space="preserve">3.4.1  Representación morfológica y reducción dimensional</w:t>
      </w:r>
    </w:p>
    <w:p>
      <w:pPr>
        <w:spacing w:after="160" w:before="0" w:line="360"/>
        <w:jc w:val="both"/>
      </w:pPr>
      <w:r>
        <w:rPr>
          <w:rFonts w:ascii="Arial" w:cs="Arial" w:eastAsia="Arial" w:hAnsi="Arial"/>
          <w:b w:val="false"/>
          <w:bCs w:val="false"/>
          <w:color w:val="000000"/>
          <w:sz w:val="22"/>
          <w:szCs w:val="22"/>
        </w:rPr>
        <w:t xml:space="preserve">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pPr>
        <w:spacing w:after="160" w:before="0" w:line="360"/>
        <w:jc w:val="both"/>
      </w:pPr>
      <w:r>
        <w:rPr>
          <w:rFonts w:ascii="Arial" w:cs="Arial" w:eastAsia="Arial" w:hAnsi="Arial"/>
          <w:b w:val="false"/>
          <w:bCs w:val="false"/>
          <w:color w:val="000000"/>
          <w:sz w:val="22"/>
          <w:szCs w:val="22"/>
        </w:rPr>
        <w:t xml:space="preserve">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pPr>
        <w:pStyle w:val="Heading3"/>
        <w:spacing w:after="120" w:before="280"/>
        <w:jc w:val="left"/>
      </w:pPr>
      <w:r>
        <w:rPr>
          <w:rFonts w:ascii="Arial" w:cs="Arial" w:eastAsia="Arial" w:hAnsi="Arial"/>
          <w:b/>
          <w:bCs/>
          <w:color w:val="1E3A5F"/>
          <w:sz w:val="24"/>
          <w:szCs w:val="24"/>
        </w:rPr>
        <w:t xml:space="preserve">3.4.2  Clustering y morfotipos C1–C5</w:t>
      </w:r>
    </w:p>
    <w:p>
      <w:pPr>
        <w:spacing w:after="160" w:before="0" w:line="360"/>
        <w:jc w:val="both"/>
      </w:pPr>
      <w:r>
        <w:rPr>
          <w:rFonts w:ascii="Arial" w:cs="Arial" w:eastAsia="Arial" w:hAnsi="Arial"/>
          <w:b w:val="false"/>
          <w:bCs w:val="false"/>
          <w:color w:val="000000"/>
          <w:sz w:val="22"/>
          <w:szCs w:val="22"/>
        </w:rPr>
        <w:t xml:space="preserve">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pPr>
        <w:spacing w:after="160" w:before="0" w:line="360"/>
        <w:jc w:val="both"/>
      </w:pPr>
      <w:r>
        <w:rPr>
          <w:rFonts w:ascii="Arial" w:cs="Arial" w:eastAsia="Arial" w:hAnsi="Arial"/>
          <w:b w:val="false"/>
          <w:bCs w:val="false"/>
          <w:color w:val="000000"/>
          <w:sz w:val="22"/>
          <w:szCs w:val="22"/>
        </w:rPr>
        <w:t xml:space="preserve">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pPr>
        <w:pStyle w:val="Heading3"/>
        <w:spacing w:after="120" w:before="280"/>
        <w:jc w:val="left"/>
      </w:pPr>
      <w:r>
        <w:rPr>
          <w:rFonts w:ascii="Arial" w:cs="Arial" w:eastAsia="Arial" w:hAnsi="Arial"/>
          <w:b/>
          <w:bCs/>
          <w:color w:val="1E3A5F"/>
          <w:sz w:val="24"/>
          <w:szCs w:val="24"/>
        </w:rPr>
        <w:t xml:space="preserve">3.4.3  Índice de Respuesta Autonómica (ARI)</w:t>
      </w:r>
    </w:p>
    <w:p>
      <w:pPr>
        <w:spacing w:after="160" w:before="0" w:line="360"/>
        <w:jc w:val="both"/>
      </w:pPr>
      <w:r>
        <w:rPr>
          <w:rFonts w:ascii="Arial" w:cs="Arial" w:eastAsia="Arial" w:hAnsi="Arial"/>
          <w:b w:val="false"/>
          <w:bCs w:val="false"/>
          <w:color w:val="000000"/>
          <w:sz w:val="22"/>
          <w:szCs w:val="22"/>
        </w:rPr>
        <w:t xml:space="preserve">Como dimensión analítica complementaria a la severidad morfológica, el Índice de Respuesta Autonómica (ARI) busca cuantificar la ganancia autonómica de cada evento: cuánta respuesta fisiológica cardíaca y motora genera el organismo por unidad de 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pPr>
        <w:spacing w:after="160" w:before="0" w:line="360"/>
        <w:jc w:val="both"/>
      </w:pPr>
      <w:r>
        <w:rPr>
          <w:rFonts w:ascii="Arial" w:cs="Arial" w:eastAsia="Arial" w:hAnsi="Arial"/>
          <w:b w:val="false"/>
          <w:bCs w:val="false"/>
          <w:color w:val="000000"/>
          <w:sz w:val="22"/>
          <w:szCs w:val="22"/>
        </w:rPr>
        <w:t xml:space="preserve">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respuesta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pPr>
        <w:pStyle w:val="Heading2"/>
        <w:spacing w:after="160" w:before="360"/>
        <w:jc w:val="left"/>
      </w:pPr>
      <w:r>
        <w:rPr>
          <w:rFonts w:ascii="Arial" w:cs="Arial" w:eastAsia="Arial" w:hAnsi="Arial"/>
          <w:b/>
          <w:bCs/>
          <w:color w:val="1E3A5F"/>
          <w:sz w:val="28"/>
          <w:szCs w:val="28"/>
        </w:rPr>
        <w:t xml:space="preserve">3.5  Estados dinámicos multiescala — Nivel 2 (Noche)</w:t>
      </w:r>
    </w:p>
    <w:p>
      <w:pPr>
        <w:spacing w:after="160" w:before="0" w:line="360"/>
        <w:jc w:val="both"/>
      </w:pPr>
      <w:r>
        <w:rPr>
          <w:rFonts w:ascii="Arial" w:cs="Arial" w:eastAsia="Arial" w:hAnsi="Arial"/>
          <w:b w:val="false"/>
          <w:bCs w:val="false"/>
          <w:color w:val="000000"/>
          <w:sz w:val="22"/>
          <w:szCs w:val="22"/>
        </w:rPr>
        <w:t xml:space="preserve">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pPr>
        <w:pStyle w:val="Heading3"/>
        <w:spacing w:after="120" w:before="280"/>
        <w:jc w:val="left"/>
      </w:pPr>
      <w:r>
        <w:rPr>
          <w:rFonts w:ascii="Arial" w:cs="Arial" w:eastAsia="Arial" w:hAnsi="Arial"/>
          <w:b/>
          <w:bCs/>
          <w:color w:val="1E3A5F"/>
          <w:sz w:val="24"/>
          <w:szCs w:val="24"/>
        </w:rPr>
        <w:t xml:space="preserve">3.5.1  Escalas temporales y particionamiento</w:t>
      </w:r>
    </w:p>
    <w:p>
      <w:pPr>
        <w:spacing w:after="160" w:before="0" w:line="360"/>
        <w:jc w:val="both"/>
      </w:pPr>
      <w:r>
        <w:rPr>
          <w:rFonts w:ascii="Arial" w:cs="Arial" w:eastAsia="Arial" w:hAnsi="Arial"/>
          <w:b w:val="false"/>
          <w:bCs w:val="false"/>
          <w:color w:val="000000"/>
          <w:sz w:val="22"/>
          <w:szCs w:val="22"/>
        </w:rPr>
        <w:t xml:space="preserve">La noche se particionó en ventanas temporales disjuntas a tres escalas complementarias:</w:t>
      </w:r>
    </w:p>
    <w:p>
      <w:pPr>
        <w:spacing w:after="160" w:before="0" w:line="360"/>
        <w:jc w:val="both"/>
      </w:pPr>
      <w:r>
        <w:rPr>
          <w:rFonts w:ascii="Arial" w:cs="Arial" w:eastAsia="Arial" w:hAnsi="Arial"/>
          <w:b/>
          <w:bCs/>
          <w:color w:val="000000"/>
          <w:sz w:val="22"/>
          <w:szCs w:val="22"/>
        </w:rPr>
        <w:t xml:space="preserve">Escala S (</w:t>
      </w:r>
      <w:r>
        <w:rPr>
          <w:rFonts w:ascii="Arial" w:cs="Arial" w:eastAsia="Arial" w:hAnsi="Arial"/>
          <w:b w:val="false"/>
          <w:bCs w:val="false"/>
          <w:color w:val="000000"/>
          <w:sz w:val="22"/>
          <w:szCs w:val="22"/>
        </w:rPr>
        <w:t xml:space="preserve">short</w:t>
      </w:r>
      <w:r>
        <w:rPr>
          <w:rFonts w:ascii="Arial" w:cs="Arial" w:eastAsia="Arial" w:hAnsi="Arial"/>
          <w:b/>
          <w:bCs/>
          <w:color w:val="000000"/>
          <w:sz w:val="22"/>
          <w:szCs w:val="22"/>
        </w:rPr>
        <w:t xml:space="preserve">, 30 s)</w:t>
      </w:r>
      <w:r>
        <w:rPr>
          <w:rFonts w:ascii="Arial" w:cs="Arial" w:eastAsia="Arial" w:hAnsi="Arial"/>
          <w:b w:val="false"/>
          <w:bCs w:val="false"/>
          <w:color w:val="000000"/>
          <w:sz w:val="22"/>
          <w:szCs w:val="22"/>
        </w:rPr>
        <w:t xml:space="preserve">: captura la microdinámica peri-evento, es decir, el contexto fisiológico inmediato en el que ocurre cada EDO y los instantes de transición de señal a alta resolución.</w:t>
      </w:r>
    </w:p>
    <w:p>
      <w:pPr>
        <w:spacing w:after="160" w:before="0" w:line="360"/>
        <w:jc w:val="both"/>
      </w:pPr>
      <w:r>
        <w:rPr>
          <w:rFonts w:ascii="Arial" w:cs="Arial" w:eastAsia="Arial" w:hAnsi="Arial"/>
          <w:b/>
          <w:bCs/>
          <w:color w:val="000000"/>
          <w:sz w:val="22"/>
          <w:szCs w:val="22"/>
        </w:rPr>
        <w:t xml:space="preserve">Escala M (</w:t>
      </w:r>
      <w:r>
        <w:rPr>
          <w:rFonts w:ascii="Arial" w:cs="Arial" w:eastAsia="Arial" w:hAnsi="Arial"/>
          <w:b w:val="false"/>
          <w:bCs w:val="false"/>
          <w:color w:val="000000"/>
          <w:sz w:val="22"/>
          <w:szCs w:val="22"/>
        </w:rPr>
        <w:t xml:space="preserve">medium</w:t>
      </w:r>
      <w:r>
        <w:rPr>
          <w:rFonts w:ascii="Arial" w:cs="Arial" w:eastAsia="Arial" w:hAnsi="Arial"/>
          <w:b/>
          <w:bCs/>
          <w:color w:val="000000"/>
          <w:sz w:val="22"/>
          <w:szCs w:val="22"/>
        </w:rPr>
        <w:t xml:space="preserve">, 5 min)</w:t>
      </w:r>
      <w:r>
        <w:rPr>
          <w:rFonts w:ascii="Arial" w:cs="Arial" w:eastAsia="Arial" w:hAnsi="Arial"/>
          <w:b w:val="false"/>
          <w:bCs w:val="false"/>
          <w:color w:val="000000"/>
          <w:sz w:val="22"/>
          <w:szCs w:val="22"/>
        </w:rPr>
        <w:t xml:space="preserve">: captura la mesodinámica autonómica: episodios de carga hipóxica sostenida, recuperación entre grupos de eventos, o estabilidad prolongada.</w:t>
      </w:r>
    </w:p>
    <w:p>
      <w:pPr>
        <w:spacing w:after="160" w:before="0" w:line="360"/>
        <w:jc w:val="both"/>
      </w:pPr>
      <w:r>
        <w:rPr>
          <w:rFonts w:ascii="Arial" w:cs="Arial" w:eastAsia="Arial" w:hAnsi="Arial"/>
          <w:b/>
          <w:bCs/>
          <w:color w:val="000000"/>
          <w:sz w:val="22"/>
          <w:szCs w:val="22"/>
        </w:rPr>
        <w:t xml:space="preserve">Escala L (</w:t>
      </w:r>
      <w:r>
        <w:rPr>
          <w:rFonts w:ascii="Arial" w:cs="Arial" w:eastAsia="Arial" w:hAnsi="Arial"/>
          <w:b w:val="false"/>
          <w:bCs w:val="false"/>
          <w:color w:val="000000"/>
          <w:sz w:val="22"/>
          <w:szCs w:val="22"/>
        </w:rPr>
        <w:t xml:space="preserve">long</w:t>
      </w:r>
      <w:r>
        <w:rPr>
          <w:rFonts w:ascii="Arial" w:cs="Arial" w:eastAsia="Arial" w:hAnsi="Arial"/>
          <w:b/>
          <w:bCs/>
          <w:color w:val="000000"/>
          <w:sz w:val="22"/>
          <w:szCs w:val="22"/>
        </w:rPr>
        <w:t xml:space="preserve">, 30 min)</w:t>
      </w:r>
      <w:r>
        <w:rPr>
          <w:rFonts w:ascii="Arial" w:cs="Arial" w:eastAsia="Arial" w:hAnsi="Arial"/>
          <w:b w:val="false"/>
          <w:bCs w:val="false"/>
          <w:color w:val="000000"/>
          <w:sz w:val="22"/>
          <w:szCs w:val="22"/>
        </w:rPr>
        <w:t xml:space="preserve">: captura la macrodinámica nocturna: la progresión global de la carga a lo largo de las distintas fases de la noche.</w:t>
      </w:r>
    </w:p>
    <w:p>
      <w:pPr>
        <w:spacing w:after="160" w:before="0" w:line="360"/>
        <w:jc w:val="both"/>
      </w:pPr>
      <w:r>
        <w:rPr>
          <w:rFonts w:ascii="Arial" w:cs="Arial" w:eastAsia="Arial" w:hAnsi="Arial"/>
          <w:b w:val="false"/>
          <w:bCs w:val="false"/>
          <w:color w:val="000000"/>
          <w:sz w:val="22"/>
          <w:szCs w:val="22"/>
        </w:rPr>
        <w:t xml:space="preserve">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pPr>
        <w:pStyle w:val="Heading3"/>
        <w:spacing w:after="120" w:before="280"/>
        <w:jc w:val="left"/>
      </w:pPr>
      <w:r>
        <w:rPr>
          <w:rFonts w:ascii="Arial" w:cs="Arial" w:eastAsia="Arial" w:hAnsi="Arial"/>
          <w:b/>
          <w:bCs/>
          <w:color w:val="1E3A5F"/>
          <w:sz w:val="24"/>
          <w:szCs w:val="24"/>
        </w:rPr>
        <w:t xml:space="preserve">3.5.2  Vector de 24 características por ventana</w:t>
      </w:r>
    </w:p>
    <w:p>
      <w:pPr>
        <w:spacing w:after="160" w:before="0" w:line="360"/>
        <w:jc w:val="both"/>
      </w:pPr>
      <w:r>
        <w:rPr>
          <w:rFonts w:ascii="Arial" w:cs="Arial" w:eastAsia="Arial" w:hAnsi="Arial"/>
          <w:b w:val="false"/>
          <w:bCs w:val="false"/>
          <w:color w:val="000000"/>
          <w:sz w:val="22"/>
          <w:szCs w:val="22"/>
        </w:rPr>
        <w:t xml:space="preserve">Cada ventana es caracterizada por un vector de 24 features que combina tres fuentes de información:</w:t>
      </w:r>
    </w:p>
    <w:p>
      <w:pPr>
        <w:spacing w:after="160" w:before="0" w:line="360"/>
        <w:jc w:val="both"/>
      </w:pPr>
      <w:r>
        <w:rPr>
          <w:rFonts w:ascii="Arial" w:cs="Arial" w:eastAsia="Arial" w:hAnsi="Arial"/>
          <w:b/>
          <w:bCs/>
          <w:color w:val="000000"/>
          <w:sz w:val="22"/>
          <w:szCs w:val="22"/>
        </w:rPr>
        <w:t xml:space="preserve">Estadísticas de señal fisiológica</w:t>
      </w:r>
      <w:r>
        <w:rPr>
          <w:rFonts w:ascii="Arial" w:cs="Arial" w:eastAsia="Arial" w:hAnsi="Arial"/>
          <w:b w:val="false"/>
          <w:bCs w:val="false"/>
          <w:color w:val="000000"/>
          <w:sz w:val="22"/>
          <w:szCs w:val="22"/>
        </w:rPr>
        <w:t xml:space="preserve">: media, desvío estándar y percentil 5 de SpO₂ (p5_spo2 como proxy de nadir en la ventana); media y desvío de FC; nivel medio de MOV. Todos los cálculos son nan-aware para tolerar gaps menores dentro de la ventana.</w:t>
      </w:r>
    </w:p>
    <w:p>
      <w:pPr>
        <w:spacing w:after="160" w:before="0" w:line="360"/>
        <w:jc w:val="both"/>
      </w:pPr>
      <w:r>
        <w:rPr>
          <w:rFonts w:ascii="Arial" w:cs="Arial" w:eastAsia="Arial" w:hAnsi="Arial"/>
          <w:b/>
          <w:bCs/>
          <w:color w:val="000000"/>
          <w:sz w:val="22"/>
          <w:szCs w:val="22"/>
        </w:rPr>
        <w:t xml:space="preserve">Densidad de morfotipos</w:t>
      </w:r>
      <w:r>
        <w:rPr>
          <w:rFonts w:ascii="Arial" w:cs="Arial" w:eastAsia="Arial" w:hAnsi="Arial"/>
          <w:b w:val="false"/>
          <w:bCs w:val="false"/>
          <w:color w:val="000000"/>
          <w:sz w:val="22"/>
          <w:szCs w:val="22"/>
        </w:rPr>
        <w:t xml:space="preserve">: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pPr>
        <w:spacing w:after="160" w:before="0" w:line="360"/>
        <w:jc w:val="both"/>
      </w:pPr>
      <w:r>
        <w:rPr>
          <w:rFonts w:ascii="Arial" w:cs="Arial" w:eastAsia="Arial" w:hAnsi="Arial"/>
          <w:b/>
          <w:bCs/>
          <w:color w:val="000000"/>
          <w:sz w:val="22"/>
          <w:szCs w:val="22"/>
        </w:rPr>
        <w:t xml:space="preserve">Composición de estadios de sueño</w:t>
      </w:r>
      <w:r>
        <w:rPr>
          <w:rFonts w:ascii="Arial" w:cs="Arial" w:eastAsia="Arial" w:hAnsi="Arial"/>
          <w:b w:val="false"/>
          <w:bCs w:val="false"/>
          <w:color w:val="000000"/>
          <w:sz w:val="22"/>
          <w:szCs w:val="22"/>
        </w:rPr>
        <w:t xml:space="preserve">: fracción de tiempo en cada estadio (vigilia, NREM, REM) según el staging inferido por el firmware del dispositivo a partir de FC y MOV. La escala M —con ventanas de 5 min— está diseñada para capturar los ciclos de estadios de sueño en su granularidad temporal natural.</w:t>
      </w:r>
    </w:p>
    <w:p>
      <w:pPr>
        <w:pStyle w:val="Heading3"/>
        <w:spacing w:after="120" w:before="280"/>
        <w:jc w:val="left"/>
      </w:pPr>
      <w:r>
        <w:rPr>
          <w:rFonts w:ascii="Arial" w:cs="Arial" w:eastAsia="Arial" w:hAnsi="Arial"/>
          <w:b/>
          <w:bCs/>
          <w:color w:val="1E3A5F"/>
          <w:sz w:val="24"/>
          <w:szCs w:val="24"/>
        </w:rPr>
        <w:t xml:space="preserve">3.5.3  Clustering por escala: estados PAC</w:t>
      </w:r>
    </w:p>
    <w:p>
      <w:pPr>
        <w:spacing w:after="160" w:before="0" w:line="360"/>
        <w:jc w:val="both"/>
      </w:pPr>
      <w:r>
        <w:rPr>
          <w:rFonts w:ascii="Arial" w:cs="Arial" w:eastAsia="Arial" w:hAnsi="Arial"/>
          <w:b w:val="false"/>
          <w:bCs w:val="false"/>
          <w:color w:val="000000"/>
          <w:sz w:val="22"/>
          <w:szCs w:val="22"/>
        </w:rPr>
        <w:t xml:space="preserve">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pPr>
        <w:spacing w:after="160" w:before="0" w:line="360"/>
        <w:jc w:val="both"/>
      </w:pPr>
      <w:r>
        <w:rPr>
          <w:rFonts w:ascii="Arial" w:cs="Arial" w:eastAsia="Arial" w:hAnsi="Arial"/>
          <w:b w:val="false"/>
          <w:bCs w:val="false"/>
          <w:color w:val="000000"/>
          <w:sz w:val="22"/>
          <w:szCs w:val="22"/>
        </w:rPr>
        <w:t xml:space="preserve">El número de clusters por escala (S: K=6, M: K=8, L: K=6)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pPr>
        <w:spacing w:after="160" w:before="0" w:line="360"/>
        <w:jc w:val="both"/>
      </w:pPr>
      <w:r>
        <w:rPr>
          <w:rFonts w:ascii="Arial" w:cs="Arial" w:eastAsia="Arial" w:hAnsi="Arial"/>
          <w:b w:val="false"/>
          <w:bCs w:val="false"/>
          <w:color w:val="000000"/>
          <w:sz w:val="22"/>
          <w:szCs w:val="22"/>
        </w:rPr>
        <w:t xml:space="preserve">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pPr>
        <w:pStyle w:val="Heading3"/>
        <w:spacing w:after="120" w:before="280"/>
        <w:jc w:val="left"/>
      </w:pPr>
      <w:r>
        <w:rPr>
          <w:rFonts w:ascii="Arial" w:cs="Arial" w:eastAsia="Arial" w:hAnsi="Arial"/>
          <w:b/>
          <w:bCs/>
          <w:color w:val="1E3A5F"/>
          <w:sz w:val="24"/>
          <w:szCs w:val="24"/>
        </w:rPr>
        <w:t xml:space="preserve">3.5.4  Features nocturnas derivadas</w:t>
      </w:r>
    </w:p>
    <w:p>
      <w:pPr>
        <w:spacing w:after="160" w:before="0" w:line="360"/>
        <w:jc w:val="both"/>
      </w:pPr>
      <w:r>
        <w:rPr>
          <w:rFonts w:ascii="Arial" w:cs="Arial" w:eastAsia="Arial" w:hAnsi="Arial"/>
          <w:b w:val="false"/>
          <w:bCs w:val="false"/>
          <w:color w:val="000000"/>
          <w:sz w:val="22"/>
          <w:szCs w:val="22"/>
        </w:rPr>
        <w:t xml:space="preserve">A partir de la secuencia de estados asignados a cada noche, se calculan 26 features nocturnas que representan la dinámica de esa noche como un vector compacto:</w:t>
      </w:r>
    </w:p>
    <w:p>
      <w:pPr>
        <w:spacing w:after="160" w:before="0" w:line="360"/>
        <w:jc w:val="both"/>
      </w:pPr>
      <w:r>
        <w:rPr>
          <w:rFonts w:ascii="Arial" w:cs="Arial" w:eastAsia="Arial" w:hAnsi="Arial"/>
          <w:b/>
          <w:bCs/>
          <w:color w:val="000000"/>
          <w:sz w:val="22"/>
          <w:szCs w:val="22"/>
        </w:rPr>
        <w:t xml:space="preserve">Fracciones de estado</w:t>
      </w:r>
      <w:r>
        <w:rPr>
          <w:rFonts w:ascii="Arial" w:cs="Arial" w:eastAsia="Arial" w:hAnsi="Arial"/>
          <w:b w:val="false"/>
          <w:bCs w:val="false"/>
          <w:color w:val="000000"/>
          <w:sz w:val="22"/>
          <w:szCs w:val="22"/>
        </w:rPr>
        <w:t xml:space="preserve">: proporción de ventanas de la noche asignadas a cada estado por escala (normalizadas a 1). Estas features reflejan la distribución del tiempo nocturno entre distintos patrones fisiológicos.</w:t>
      </w:r>
    </w:p>
    <w:p>
      <w:pPr>
        <w:spacing w:after="160" w:before="0" w:line="360"/>
        <w:jc w:val="both"/>
      </w:pPr>
      <w:r>
        <w:rPr>
          <w:rFonts w:ascii="Arial" w:cs="Arial" w:eastAsia="Arial" w:hAnsi="Arial"/>
          <w:b/>
          <w:bCs/>
          <w:color w:val="000000"/>
          <w:sz w:val="22"/>
          <w:szCs w:val="22"/>
        </w:rPr>
        <w:t xml:space="preserve">Entropía de Shannon</w:t>
      </w:r>
      <w:r>
        <w:rPr>
          <w:rFonts w:ascii="Arial" w:cs="Arial" w:eastAsia="Arial" w:hAnsi="Arial"/>
          <w:b w:val="false"/>
          <w:bCs w:val="false"/>
          <w:color w:val="000000"/>
          <w:sz w:val="22"/>
          <w:szCs w:val="22"/>
        </w:rPr>
        <w:t xml:space="preserve"> (Shannon, 1948): entropía de la distribución de estados por escala (3 features: S, M, L). Un valor alto indica una noche irregular con frecuente cambio de estado; un valor bajo indica dominancia de pocos estados.</w:t>
      </w:r>
    </w:p>
    <w:p>
      <w:pPr>
        <w:spacing w:after="160" w:before="0" w:line="360"/>
        <w:jc w:val="both"/>
      </w:pPr>
      <w:r>
        <w:rPr>
          <w:rFonts w:ascii="Arial" w:cs="Arial" w:eastAsia="Arial" w:hAnsi="Arial"/>
          <w:b/>
          <w:bCs/>
          <w:color w:val="000000"/>
          <w:sz w:val="22"/>
          <w:szCs w:val="22"/>
        </w:rPr>
        <w:t xml:space="preserve">Tasa de transiciones</w:t>
      </w:r>
      <w:r>
        <w:rPr>
          <w:rFonts w:ascii="Arial" w:cs="Arial" w:eastAsia="Arial" w:hAnsi="Arial"/>
          <w:b w:val="false"/>
          <w:bCs w:val="false"/>
          <w:color w:val="000000"/>
          <w:sz w:val="22"/>
          <w:szCs w:val="22"/>
        </w:rPr>
        <w:t xml:space="preserve">: número de cambios entre estados distintos por escala, normalizado por la duración de la noche (3 features). Cuantifica la inestabilidad dinámica de cada escala temporal.</w:t>
      </w:r>
    </w:p>
    <w:p>
      <w:pPr>
        <w:spacing w:after="160" w:before="0" w:line="360"/>
        <w:jc w:val="both"/>
      </w:pPr>
      <w:r>
        <w:rPr>
          <w:rFonts w:ascii="Arial" w:cs="Arial" w:eastAsia="Arial" w:hAnsi="Arial"/>
          <w:b w:val="false"/>
          <w:bCs w:val="false"/>
          <w:color w:val="000000"/>
          <w:sz w:val="22"/>
          <w:szCs w:val="22"/>
        </w:rPr>
        <w:t xml:space="preserve">Sobre estas 26 features se aplica PCA multiescala para identificar las dimensiones de mayor varianza del espacio nocturno, y se evalúa su asociación con índices clínicos convencionales (ODI3, T90) como validación de contenido.</w:t>
      </w:r>
    </w:p>
    <w:p>
      <w:pPr>
        <w:pStyle w:val="Heading3"/>
        <w:spacing w:after="120" w:before="280"/>
        <w:jc w:val="left"/>
      </w:pPr>
      <w:r>
        <w:rPr>
          <w:rFonts w:ascii="Arial" w:cs="Arial" w:eastAsia="Arial" w:hAnsi="Arial"/>
          <w:b/>
          <w:bCs/>
          <w:color w:val="1E3A5F"/>
          <w:sz w:val="24"/>
          <w:szCs w:val="24"/>
        </w:rPr>
        <w:t xml:space="preserve">3.5.5  Análisis de trayectorias y cadenas de Markov</w:t>
      </w:r>
    </w:p>
    <w:p>
      <w:pPr>
        <w:spacing w:after="160" w:before="0" w:line="360"/>
        <w:jc w:val="both"/>
      </w:pPr>
      <w:r>
        <w:rPr>
          <w:rFonts w:ascii="Arial" w:cs="Arial" w:eastAsia="Arial" w:hAnsi="Arial"/>
          <w:b w:val="false"/>
          <w:bCs w:val="false"/>
          <w:color w:val="000000"/>
          <w:sz w:val="22"/>
          <w:szCs w:val="22"/>
        </w:rPr>
        <w:t xml:space="preserve">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pPr>
        <w:pStyle w:val="Heading2"/>
        <w:spacing w:after="160" w:before="360"/>
        <w:jc w:val="left"/>
      </w:pPr>
      <w:r>
        <w:rPr>
          <w:rFonts w:ascii="Arial" w:cs="Arial" w:eastAsia="Arial" w:hAnsi="Arial"/>
          <w:b/>
          <w:bCs/>
          <w:color w:val="1E3A5F"/>
          <w:sz w:val="28"/>
          <w:szCs w:val="28"/>
        </w:rPr>
        <w:t xml:space="preserve">3.6  Modelos predictivos — Nivel 3 (Paciente)</w:t>
      </w:r>
    </w:p>
    <w:p>
      <w:pPr>
        <w:spacing w:after="160" w:before="0" w:line="360"/>
        <w:jc w:val="both"/>
      </w:pPr>
      <w:r>
        <w:rPr>
          <w:rFonts w:ascii="Arial" w:cs="Arial" w:eastAsia="Arial" w:hAnsi="Arial"/>
          <w:b w:val="false"/>
          <w:bCs w:val="false"/>
          <w:color w:val="000000"/>
          <w:sz w:val="22"/>
          <w:szCs w:val="22"/>
        </w:rPr>
        <w:t xml:space="preserve">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pPr>
        <w:pStyle w:val="Heading3"/>
        <w:spacing w:after="120" w:before="280"/>
        <w:jc w:val="left"/>
      </w:pPr>
      <w:r>
        <w:rPr>
          <w:rFonts w:ascii="Arial" w:cs="Arial" w:eastAsia="Arial" w:hAnsi="Arial"/>
          <w:b/>
          <w:bCs/>
          <w:color w:val="1E3A5F"/>
          <w:sz w:val="24"/>
          <w:szCs w:val="24"/>
        </w:rPr>
        <w:t xml:space="preserve">3.6.1  Clasificación de severidad nocturna</w:t>
      </w:r>
    </w:p>
    <w:p>
      <w:pPr>
        <w:spacing w:after="160" w:before="0" w:line="360"/>
        <w:jc w:val="both"/>
      </w:pPr>
      <w:r>
        <w:rPr>
          <w:rFonts w:ascii="Arial" w:cs="Arial" w:eastAsia="Arial" w:hAnsi="Arial"/>
          <w:b w:val="false"/>
          <w:bCs w:val="false"/>
          <w:color w:val="000000"/>
          <w:sz w:val="22"/>
          <w:szCs w:val="22"/>
        </w:rPr>
        <w:t xml:space="preserve">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pPr>
        <w:spacing w:after="160" w:before="0" w:line="360"/>
        <w:jc w:val="both"/>
      </w:pPr>
      <w:r>
        <w:rPr>
          <w:rFonts w:ascii="Arial" w:cs="Arial" w:eastAsia="Arial" w:hAnsi="Arial"/>
          <w:b w:val="false"/>
          <w:bCs w:val="false"/>
          <w:color w:val="000000"/>
          <w:sz w:val="22"/>
          <w:szCs w:val="22"/>
        </w:rPr>
        <w:t xml:space="preserve">Se evalúan dos familias de modelos. </w:t>
      </w:r>
      <w:r>
        <w:rPr>
          <w:rFonts w:ascii="Arial" w:cs="Arial" w:eastAsia="Arial" w:hAnsi="Arial"/>
          <w:b/>
          <w:bCs/>
          <w:color w:val="000000"/>
          <w:sz w:val="22"/>
          <w:szCs w:val="22"/>
        </w:rPr>
        <w:t xml:space="preserve">Gradient Boosting</w:t>
      </w:r>
      <w:r>
        <w:rPr>
          <w:rFonts w:ascii="Arial" w:cs="Arial" w:eastAsia="Arial" w:hAnsi="Arial"/>
          <w:b w:val="false"/>
          <w:bCs w:val="false"/>
          <w:color w:val="000000"/>
          <w:sz w:val="22"/>
          <w:szCs w:val="22"/>
        </w:rPr>
        <w:t xml:space="preserve"> (LightGBM; Ke et al., 2017): modelo de ensamble basado en árboles de decisión con regularización por gradiente, particularmente adecuado para datos tabulares con features de distintas escalas y relaciones no lineales entre predictores. </w:t>
      </w:r>
      <w:r>
        <w:rPr>
          <w:rFonts w:ascii="Arial" w:cs="Arial" w:eastAsia="Arial" w:hAnsi="Arial"/>
          <w:b/>
          <w:bCs/>
          <w:color w:val="000000"/>
          <w:sz w:val="22"/>
          <w:szCs w:val="22"/>
        </w:rPr>
        <w:t xml:space="preserve">Regresión Logística</w:t>
      </w:r>
      <w:r>
        <w:rPr>
          <w:rFonts w:ascii="Arial" w:cs="Arial" w:eastAsia="Arial" w:hAnsi="Arial"/>
          <w:b w:val="false"/>
          <w:bCs w:val="false"/>
          <w:color w:val="000000"/>
          <w:sz w:val="22"/>
          <w:szCs w:val="22"/>
        </w:rPr>
        <w:t xml:space="preserve"> (LR; Hosmer et al., 2013): modelo lineal que opera como línea base interpretable. Su comparación con LightGBM permite evaluar en qué medida la relación entre features nocturnas y severidad es aproximadamente lineal.</w:t>
      </w:r>
    </w:p>
    <w:p>
      <w:pPr>
        <w:spacing w:after="160" w:before="0" w:line="360"/>
        <w:jc w:val="both"/>
      </w:pPr>
      <w:r>
        <w:rPr>
          <w:rFonts w:ascii="Arial" w:cs="Arial" w:eastAsia="Arial" w:hAnsi="Arial"/>
          <w:b w:val="false"/>
          <w:bCs w:val="false"/>
          <w:color w:val="000000"/>
          <w:sz w:val="22"/>
          <w:szCs w:val="22"/>
        </w:rPr>
        <w:t xml:space="preserve">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pPr>
        <w:pStyle w:val="Heading3"/>
        <w:spacing w:after="120" w:before="280"/>
        <w:jc w:val="left"/>
      </w:pPr>
      <w:r>
        <w:rPr>
          <w:rFonts w:ascii="Arial" w:cs="Arial" w:eastAsia="Arial" w:hAnsi="Arial"/>
          <w:b/>
          <w:bCs/>
          <w:color w:val="1E3A5F"/>
          <w:sz w:val="24"/>
          <w:szCs w:val="24"/>
        </w:rPr>
        <w:t xml:space="preserve">3.6.2  Predicción del siguiente evento severo (NB07)</w:t>
      </w:r>
    </w:p>
    <w:p>
      <w:pPr>
        <w:spacing w:after="160" w:before="0" w:line="360"/>
        <w:jc w:val="both"/>
      </w:pPr>
      <w:r>
        <w:rPr>
          <w:rFonts w:ascii="Arial" w:cs="Arial" w:eastAsia="Arial" w:hAnsi="Arial"/>
          <w:b w:val="false"/>
          <w:bCs w:val="false"/>
          <w:color w:val="000000"/>
          <w:sz w:val="22"/>
          <w:szCs w:val="22"/>
        </w:rPr>
        <w:t xml:space="preserve">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pPr>
        <w:pStyle w:val="Heading3"/>
        <w:spacing w:after="120" w:before="280"/>
        <w:jc w:val="left"/>
      </w:pPr>
      <w:r>
        <w:rPr>
          <w:rFonts w:ascii="Arial" w:cs="Arial" w:eastAsia="Arial" w:hAnsi="Arial"/>
          <w:b/>
          <w:bCs/>
          <w:color w:val="1E3A5F"/>
          <w:sz w:val="24"/>
          <w:szCs w:val="24"/>
        </w:rPr>
        <w:t xml:space="preserve">3.6.3  Score de riesgo nocturno</w:t>
      </w:r>
    </w:p>
    <w:p>
      <w:pPr>
        <w:spacing w:after="160" w:before="0" w:line="360"/>
        <w:jc w:val="both"/>
      </w:pPr>
      <w:r>
        <w:rPr>
          <w:rFonts w:ascii="Arial" w:cs="Arial" w:eastAsia="Arial" w:hAnsi="Arial"/>
          <w:b w:val="false"/>
          <w:bCs w:val="false"/>
          <w:color w:val="000000"/>
          <w:sz w:val="22"/>
          <w:szCs w:val="22"/>
        </w:rPr>
        <w:t xml:space="preserve">Como síntesis clínica de los modelos de clasificación, se construye un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de riesgo continuo en escala 0–100, calibrado para que su distribución sea monotónicamente creciente con la categoría AASM. El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integra las predicciones del modelo de mayor rendimiento en validación LOPO-CV y permite comunicar el riesgo nocturno en una escala clínicamente interpretable, con umbrales de corte definidos a partir de la distribución observada en la cohorte.</w:t>
      </w:r>
    </w:p>
    <w:p>
      <w:pPr>
        <w:pStyle w:val="Heading2"/>
        <w:spacing w:after="160" w:before="360"/>
        <w:jc w:val="left"/>
      </w:pPr>
      <w:r>
        <w:rPr>
          <w:rFonts w:ascii="Arial" w:cs="Arial" w:eastAsia="Arial" w:hAnsi="Arial"/>
          <w:b/>
          <w:bCs/>
          <w:color w:val="1E3A5F"/>
          <w:sz w:val="28"/>
          <w:szCs w:val="28"/>
        </w:rPr>
        <w:t xml:space="preserve">3.7  Predicción prospectiva con lead time clínico (NB08)</w:t>
      </w:r>
    </w:p>
    <w:p>
      <w:pPr>
        <w:spacing w:after="160" w:before="0" w:line="360"/>
        <w:jc w:val="both"/>
      </w:pPr>
      <w:r>
        <w:rPr>
          <w:rFonts w:ascii="Arial" w:cs="Arial" w:eastAsia="Arial" w:hAnsi="Arial"/>
          <w:b w:val="false"/>
          <w:bCs w:val="false"/>
          <w:color w:val="000000"/>
          <w:sz w:val="22"/>
          <w:szCs w:val="22"/>
        </w:rPr>
        <w:t xml:space="preserve">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pPr>
        <w:spacing w:after="160" w:before="0" w:line="360"/>
        <w:jc w:val="both"/>
      </w:pPr>
      <w:r>
        <w:rPr>
          <w:rFonts w:ascii="Arial" w:cs="Arial" w:eastAsia="Arial" w:hAnsi="Arial"/>
          <w:b w:val="false"/>
          <w:bCs w:val="false"/>
          <w:color w:val="000000"/>
          <w:sz w:val="22"/>
          <w:szCs w:val="22"/>
        </w:rPr>
        <w:t xml:space="preserve">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pPr>
        <w:spacing w:after="160" w:before="0" w:line="360"/>
        <w:jc w:val="both"/>
      </w:pPr>
      <w:r>
        <w:rPr>
          <w:rFonts w:ascii="Arial" w:cs="Arial" w:eastAsia="Arial" w:hAnsi="Arial"/>
          <w:b w:val="false"/>
          <w:bCs w:val="false"/>
          <w:color w:val="000000"/>
          <w:sz w:val="22"/>
          <w:szCs w:val="22"/>
        </w:rPr>
        <w:t xml:space="preserve">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la especificidad tiende a decrecer. El análisis cuantitativo del trade-off horizonte/métricas y la selección del horizonte de referencia se reportan en el Capítulo 4.</w:t>
      </w:r>
    </w:p>
    <w:p>
      <w:pPr>
        <w:pStyle w:val="Heading2"/>
        <w:spacing w:after="160" w:before="360"/>
        <w:jc w:val="left"/>
      </w:pPr>
      <w:r>
        <w:rPr>
          <w:rFonts w:ascii="Arial" w:cs="Arial" w:eastAsia="Arial" w:hAnsi="Arial"/>
          <w:b/>
          <w:bCs/>
          <w:color w:val="1E3A5F"/>
          <w:sz w:val="28"/>
          <w:szCs w:val="28"/>
        </w:rPr>
        <w:t xml:space="preserve">3.8  Estrategia de validación estadística</w:t>
      </w:r>
    </w:p>
    <w:p>
      <w:pPr>
        <w:pStyle w:val="Heading3"/>
        <w:spacing w:after="120" w:before="280"/>
        <w:jc w:val="left"/>
      </w:pPr>
      <w:r>
        <w:rPr>
          <w:rFonts w:ascii="Arial" w:cs="Arial" w:eastAsia="Arial" w:hAnsi="Arial"/>
          <w:b/>
          <w:bCs/>
          <w:color w:val="1E3A5F"/>
          <w:sz w:val="24"/>
          <w:szCs w:val="24"/>
        </w:rPr>
        <w:t xml:space="preserve">3.8.1  LOPO-CV y unidad efectiva de análisis</w:t>
      </w:r>
    </w:p>
    <w:p>
      <w:pPr>
        <w:spacing w:after="160" w:before="0" w:line="360"/>
        <w:jc w:val="both"/>
      </w:pPr>
      <w:r>
        <w:rPr>
          <w:rFonts w:ascii="Arial" w:cs="Arial" w:eastAsia="Arial" w:hAnsi="Arial"/>
          <w:b w:val="false"/>
          <w:bCs w:val="false"/>
          <w:color w:val="000000"/>
          <w:sz w:val="22"/>
          <w:szCs w:val="22"/>
        </w:rPr>
        <w:t xml:space="preserve">Toda la validación de modelos predictivos se realiza mediante </w:t>
      </w:r>
      <w:r>
        <w:rPr>
          <w:rFonts w:ascii="Arial" w:cs="Arial" w:eastAsia="Arial" w:hAnsi="Arial"/>
          <w:b w:val="false"/>
          <w:bCs w:val="false"/>
          <w:color w:val="000000"/>
          <w:sz w:val="22"/>
          <w:szCs w:val="22"/>
        </w:rPr>
        <w:t xml:space="preserve">Leave-One-Patient-Out Cross-Validation</w:t>
      </w:r>
      <w:r>
        <w:rPr>
          <w:rFonts w:ascii="Arial" w:cs="Arial" w:eastAsia="Arial" w:hAnsi="Arial"/>
          <w:b w:val="false"/>
          <w:bCs w:val="false"/>
          <w:color w:val="000000"/>
          <w:sz w:val="22"/>
          <w:szCs w:val="22"/>
        </w:rPr>
        <w:t xml:space="preserve">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pPr>
        <w:spacing w:after="160" w:before="0" w:line="360"/>
        <w:jc w:val="both"/>
      </w:pPr>
      <w:r>
        <w:rPr>
          <w:rFonts w:ascii="Arial" w:cs="Arial" w:eastAsia="Arial" w:hAnsi="Arial"/>
          <w:b w:val="false"/>
          <w:bCs w:val="false"/>
          <w:color w:val="000000"/>
          <w:sz w:val="22"/>
          <w:szCs w:val="22"/>
        </w:rPr>
        <w:t xml:space="preserve">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pPr>
        <w:pStyle w:val="Heading3"/>
        <w:spacing w:after="120" w:before="280"/>
        <w:jc w:val="left"/>
      </w:pPr>
      <w:r>
        <w:rPr>
          <w:rFonts w:ascii="Arial" w:cs="Arial" w:eastAsia="Arial" w:hAnsi="Arial"/>
          <w:b/>
          <w:bCs/>
          <w:color w:val="1E3A5F"/>
          <w:sz w:val="24"/>
          <w:szCs w:val="24"/>
        </w:rPr>
        <w:t xml:space="preserve">3.8.2  Reproducibilidad inter-noche</w:t>
      </w:r>
    </w:p>
    <w:p>
      <w:pPr>
        <w:spacing w:after="160" w:before="0" w:line="360"/>
        <w:jc w:val="both"/>
      </w:pPr>
      <w:r>
        <w:rPr>
          <w:rFonts w:ascii="Arial" w:cs="Arial" w:eastAsia="Arial" w:hAnsi="Arial"/>
          <w:b w:val="false"/>
          <w:bCs w:val="false"/>
          <w:color w:val="000000"/>
          <w:sz w:val="22"/>
          <w:szCs w:val="22"/>
        </w:rPr>
        <w:t xml:space="preserve">La estabilidad de las métricas propuestas frente a la variabilidad intraindividual se evalúa mediante tres procedimientos complementarios:</w:t>
      </w:r>
    </w:p>
    <w:p>
      <w:pPr>
        <w:spacing w:after="160" w:before="0" w:line="360"/>
        <w:jc w:val="both"/>
      </w:pPr>
      <w:r>
        <w:rPr>
          <w:rFonts w:ascii="Arial" w:cs="Arial" w:eastAsia="Arial" w:hAnsi="Arial"/>
          <w:b/>
          <w:bCs/>
          <w:color w:val="000000"/>
          <w:sz w:val="22"/>
          <w:szCs w:val="22"/>
        </w:rPr>
        <w:t xml:space="preserve">Coeficiente de correlación intraclase ICC(1,1)</w:t>
      </w:r>
      <w:r>
        <w:rPr>
          <w:rFonts w:ascii="Arial" w:cs="Arial" w:eastAsia="Arial" w:hAnsi="Arial"/>
          <w:b w:val="false"/>
          <w:bCs w:val="false"/>
          <w:color w:val="000000"/>
          <w:sz w:val="22"/>
          <w:szCs w:val="22"/>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pPr>
        <w:spacing w:after="160" w:before="0" w:line="360"/>
        <w:jc w:val="both"/>
      </w:pPr>
      <w:r>
        <w:rPr>
          <w:rFonts w:ascii="Arial" w:cs="Arial" w:eastAsia="Arial" w:hAnsi="Arial"/>
          <w:b/>
          <w:bCs/>
          <w:color w:val="000000"/>
          <w:sz w:val="22"/>
          <w:szCs w:val="22"/>
        </w:rPr>
        <w:t xml:space="preserve">Análisis de concordancia de Bland-Altman</w:t>
      </w:r>
      <w:r>
        <w:rPr>
          <w:rFonts w:ascii="Arial" w:cs="Arial" w:eastAsia="Arial" w:hAnsi="Arial"/>
          <w:b w:val="false"/>
          <w:bCs w:val="false"/>
          <w:color w:val="000000"/>
          <w:sz w:val="22"/>
          <w:szCs w:val="22"/>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pPr>
        <w:spacing w:after="160" w:before="0" w:line="360"/>
        <w:jc w:val="both"/>
      </w:pPr>
      <w:r>
        <w:rPr>
          <w:rFonts w:ascii="Arial" w:cs="Arial" w:eastAsia="Arial" w:hAnsi="Arial"/>
          <w:b/>
          <w:bCs/>
          <w:color w:val="000000"/>
          <w:sz w:val="22"/>
          <w:szCs w:val="22"/>
        </w:rPr>
        <w:t xml:space="preserve">Curvas de estabilización bootstrap del MAE</w:t>
      </w:r>
      <w:r>
        <w:rPr>
          <w:rFonts w:ascii="Arial" w:cs="Arial" w:eastAsia="Arial" w:hAnsi="Arial"/>
          <w:b w:val="false"/>
          <w:bCs w:val="false"/>
          <w:color w:val="000000"/>
          <w:sz w:val="22"/>
          <w:szCs w:val="22"/>
        </w:rPr>
        <w:t xml:space="preserve">: para pacientes con ≥ 14 noches válidas (n = 7), se estima el error absoluto medio (MAE) en función del número de noches acumuladas mediante remuestreo </w:t>
      </w:r>
      <w:r>
        <w:rPr>
          <w:rFonts w:ascii="Arial" w:cs="Arial" w:eastAsia="Arial" w:hAnsi="Arial"/>
          <w:b w:val="false"/>
          <w:bCs w:val="false"/>
          <w:color w:val="000000"/>
          <w:sz w:val="22"/>
          <w:szCs w:val="22"/>
        </w:rPr>
        <w:t xml:space="preserve">bootstrap</w:t>
      </w:r>
      <w:r>
        <w:rPr>
          <w:rFonts w:ascii="Arial" w:cs="Arial" w:eastAsia="Arial" w:hAnsi="Arial"/>
          <w:b w:val="false"/>
          <w:bCs w:val="false"/>
          <w:color w:val="000000"/>
          <w:sz w:val="22"/>
          <w:szCs w:val="22"/>
        </w:rPr>
        <w:t xml:space="preserve"> (Efron &amp; Tibshirani, 1993; 300 iteraciones por paciente). La convergencia del MAE hacia un valor estable define empíricamente el número mínimo de noches necesario para una estimación fiable de cada índice.</w:t>
      </w:r>
    </w:p>
    <w:p>
      <w:pPr>
        <w:pStyle w:val="Heading3"/>
        <w:spacing w:after="120" w:before="280"/>
        <w:jc w:val="left"/>
      </w:pPr>
      <w:r>
        <w:rPr>
          <w:rFonts w:ascii="Arial" w:cs="Arial" w:eastAsia="Arial" w:hAnsi="Arial"/>
          <w:b/>
          <w:bCs/>
          <w:color w:val="1E3A5F"/>
          <w:sz w:val="24"/>
          <w:szCs w:val="24"/>
        </w:rPr>
        <w:t xml:space="preserve">3.8.3  Interpretabilidad de modelos (SHAP)</w:t>
      </w:r>
    </w:p>
    <w:p>
      <w:pPr>
        <w:spacing w:after="160" w:before="0" w:line="360"/>
        <w:jc w:val="both"/>
      </w:pPr>
      <w:r>
        <w:rPr>
          <w:rFonts w:ascii="Arial" w:cs="Arial" w:eastAsia="Arial" w:hAnsi="Arial"/>
          <w:b w:val="false"/>
          <w:bCs w:val="false"/>
          <w:color w:val="000000"/>
          <w:sz w:val="22"/>
          <w:szCs w:val="22"/>
        </w:rPr>
        <w:t xml:space="preserve">Los modelos LightGBM se interpretan mediante valores SHAP (</w:t>
      </w:r>
      <w:r>
        <w:rPr>
          <w:rFonts w:ascii="Arial" w:cs="Arial" w:eastAsia="Arial" w:hAnsi="Arial"/>
          <w:b w:val="false"/>
          <w:bCs w:val="false"/>
          <w:color w:val="000000"/>
          <w:sz w:val="22"/>
          <w:szCs w:val="22"/>
        </w:rPr>
        <w:t xml:space="preserve">SHapley Additive exPlanations</w:t>
      </w:r>
      <w:r>
        <w:rPr>
          <w:rFonts w:ascii="Arial" w:cs="Arial" w:eastAsia="Arial" w:hAnsi="Arial"/>
          <w:b w:val="false"/>
          <w:bCs w:val="false"/>
          <w:color w:val="000000"/>
          <w:sz w:val="22"/>
          <w:szCs w:val="22"/>
        </w:rPr>
        <w:t xml:space="preserve">; Lundberg &amp; Lee, 2017), que asignan a cada feature de cada observación una contribución aditiva a la predicción del modelo, con propiedades de eficiencia, simetría y consistencia derivadas de la teoría de juegos cooperativos. Los valores SHAP 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pPr>
        <w:pStyle w:val="Heading3"/>
        <w:spacing w:after="120" w:before="280"/>
        <w:jc w:val="left"/>
      </w:pPr>
      <w:r>
        <w:rPr>
          <w:rFonts w:ascii="Arial" w:cs="Arial" w:eastAsia="Arial" w:hAnsi="Arial"/>
          <w:b/>
          <w:bCs/>
          <w:color w:val="1E3A5F"/>
          <w:sz w:val="24"/>
          <w:szCs w:val="24"/>
        </w:rPr>
        <w:t xml:space="preserve">3.8.4  Consideraciones sobre independencia estadística y variabilidad intraindividual</w:t>
      </w:r>
    </w:p>
    <w:p>
      <w:pPr>
        <w:spacing w:after="160" w:before="0" w:line="360"/>
        <w:jc w:val="both"/>
      </w:pPr>
      <w:r>
        <w:rPr>
          <w:rFonts w:ascii="Arial" w:cs="Arial" w:eastAsia="Arial" w:hAnsi="Arial"/>
          <w:b w:val="false"/>
          <w:bCs w:val="false"/>
          <w:color w:val="000000"/>
          <w:sz w:val="22"/>
          <w:szCs w:val="22"/>
        </w:rPr>
        <w:t xml:space="preserve">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pPr>
        <w:spacing w:after="160" w:before="0" w:line="360"/>
        <w:jc w:val="both"/>
      </w:pPr>
      <w:r>
        <w:rPr>
          <w:rFonts w:ascii="Arial" w:cs="Arial" w:eastAsia="Arial" w:hAnsi="Arial"/>
          <w:b w:val="false"/>
          <w:bCs w:val="false"/>
          <w:color w:val="000000"/>
          <w:sz w:val="22"/>
          <w:szCs w:val="22"/>
        </w:rPr>
        <w:t xml:space="preserve">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pPr>
        <w:pStyle w:val="Heading2"/>
        <w:spacing w:after="160" w:before="360"/>
        <w:jc w:val="left"/>
      </w:pPr>
      <w:r>
        <w:rPr>
          <w:rFonts w:ascii="Arial" w:cs="Arial" w:eastAsia="Arial" w:hAnsi="Arial"/>
          <w:b/>
          <w:bCs/>
          <w:color w:val="1E3A5F"/>
          <w:sz w:val="28"/>
          <w:szCs w:val="28"/>
        </w:rPr>
        <w:t xml:space="preserve">Referencias</w:t>
      </w:r>
    </w:p>
    <w:p>
      <w:pPr>
        <w:spacing w:after="160" w:before="0" w:line="360"/>
        <w:jc w:val="both"/>
      </w:pPr>
      <w:r>
        <w:rPr>
          <w:rFonts w:ascii="Arial" w:cs="Arial" w:eastAsia="Arial" w:hAnsi="Arial"/>
          <w:b w:val="false"/>
          <w:bCs w:val="false"/>
          <w:color w:val="000000"/>
          <w:sz w:val="22"/>
          <w:szCs w:val="22"/>
        </w:rPr>
        <w:t xml:space="preserve">Azarbarzin, A., Sands, S. A., Stone, K. L., Taranto-Montemurro, L., Messineo, L., Terrill, P. I., Ancoli-Israel, S., Ensrud, K., Purcell, S., White, D. P., Redline, S., &amp; Wellman, A. (2019). The hypoxic burden of sleep apnoea: A novel biomarker of cardiovascular disease. European Heart Journal, 40(14), 1149–1158. https://doi.org/10.1093/eurheartj/ehy234</w:t>
      </w:r>
    </w:p>
    <w:p>
      <w:pPr>
        <w:spacing w:after="160" w:before="0" w:line="360"/>
        <w:jc w:val="both"/>
      </w:pPr>
      <w:r>
        <w:rPr>
          <w:rFonts w:ascii="Arial" w:cs="Arial" w:eastAsia="Arial" w:hAnsi="Arial"/>
          <w:b w:val="false"/>
          <w:bCs w:val="false"/>
          <w:color w:val="000000"/>
          <w:sz w:val="22"/>
          <w:szCs w:val="22"/>
        </w:rPr>
        <w:t xml:space="preserve">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pPr>
        <w:spacing w:after="160" w:before="0" w:line="360"/>
        <w:jc w:val="both"/>
      </w:pPr>
      <w:r>
        <w:rPr>
          <w:rFonts w:ascii="Arial" w:cs="Arial" w:eastAsia="Arial" w:hAnsi="Arial"/>
          <w:b w:val="false"/>
          <w:bCs w:val="false"/>
          <w:color w:val="000000"/>
          <w:sz w:val="22"/>
          <w:szCs w:val="22"/>
        </w:rPr>
        <w:t xml:space="preserve">Bland, J. M., &amp; Altman, D. G. (1986). Statistical methods for assessing agreement between two methods of clinical measurement. The Lancet, 327(8476), 307–310. https://doi.org/10.1016/S0140-6736(86)90837-8</w:t>
      </w:r>
    </w:p>
    <w:p>
      <w:pPr>
        <w:spacing w:after="160" w:before="0" w:line="360"/>
        <w:jc w:val="both"/>
      </w:pPr>
      <w:r>
        <w:rPr>
          <w:rFonts w:ascii="Arial" w:cs="Arial" w:eastAsia="Arial" w:hAnsi="Arial"/>
          <w:b w:val="false"/>
          <w:bCs w:val="false"/>
          <w:color w:val="000000"/>
          <w:sz w:val="22"/>
          <w:szCs w:val="22"/>
        </w:rPr>
        <w:t xml:space="preserve">Efron, B., &amp; Tibshirani, R. J. (1993). An introduction to the bootstrap. Chapman &amp; Hall/CRC. https://doi.org/10.1201/9780429246593</w:t>
      </w:r>
    </w:p>
    <w:p>
      <w:pPr>
        <w:spacing w:after="160" w:before="0" w:line="360"/>
        <w:jc w:val="both"/>
      </w:pPr>
      <w:r>
        <w:rPr>
          <w:rFonts w:ascii="Arial" w:cs="Arial" w:eastAsia="Arial" w:hAnsi="Arial"/>
          <w:b w:val="false"/>
          <w:bCs w:val="false"/>
          <w:color w:val="000000"/>
          <w:sz w:val="22"/>
          <w:szCs w:val="22"/>
        </w:rPr>
        <w:t xml:space="preserve">Hosmer, D. W., Lemeshow, S., &amp; Sturdivant, R. X. (2013). Applied logistic regression (3rd ed.). Wiley. https://doi.org/10.1002/9781118548387</w:t>
      </w:r>
    </w:p>
    <w:p>
      <w:pPr>
        <w:spacing w:after="160" w:before="0" w:line="360"/>
        <w:jc w:val="both"/>
      </w:pPr>
      <w:r>
        <w:rPr>
          <w:rFonts w:ascii="Arial" w:cs="Arial" w:eastAsia="Arial" w:hAnsi="Arial"/>
          <w:b w:val="false"/>
          <w:bCs w:val="false"/>
          <w:color w:val="000000"/>
          <w:sz w:val="22"/>
          <w:szCs w:val="22"/>
        </w:rPr>
        <w:t xml:space="preserve">Jolliffe, I. T. (2002). Principal component analysis (2nd ed.). Springer.</w:t>
      </w:r>
    </w:p>
    <w:p>
      <w:pPr>
        <w:spacing w:after="160" w:before="0" w:line="360"/>
        <w:jc w:val="both"/>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60" w:before="0" w:line="360"/>
        <w:jc w:val="both"/>
      </w:pPr>
      <w:r>
        <w:rPr>
          <w:rFonts w:ascii="Arial" w:cs="Arial" w:eastAsia="Arial" w:hAnsi="Arial"/>
          <w:b w:val="false"/>
          <w:bCs w:val="false"/>
          <w:color w:val="000000"/>
          <w:sz w:val="22"/>
          <w:szCs w:val="22"/>
        </w:rPr>
        <w:t xml:space="preserve">Koo, T. K., &amp; Li, M. Y. (2016). A guideline of selecting and reporting intraclass correlation coefficients for reliability research. Journal of Chiropractic Medicine, 15(2), 155–163. https://doi.org/10.1016/j.jcm.2016.02.012</w:t>
      </w:r>
    </w:p>
    <w:p>
      <w:pPr>
        <w:spacing w:after="160" w:before="0" w:line="360"/>
        <w:jc w:val="both"/>
      </w:pPr>
      <w:r>
        <w:rPr>
          <w:rFonts w:ascii="Arial" w:cs="Arial" w:eastAsia="Arial" w:hAnsi="Arial"/>
          <w:b w:val="false"/>
          <w:bCs w:val="false"/>
          <w:color w:val="000000"/>
          <w:sz w:val="22"/>
          <w:szCs w:val="22"/>
        </w:rPr>
        <w:t xml:space="preserve">Lundberg, S. M., &amp; Lee, S.-I. (2017). A unified approach to interpreting model predictions. Advances in Neural Information Processing Systems, 30, 4765–4774.</w:t>
      </w:r>
    </w:p>
    <w:p>
      <w:pPr>
        <w:spacing w:after="160" w:before="0" w:line="360"/>
        <w:jc w:val="both"/>
      </w:pPr>
      <w:r>
        <w:rPr>
          <w:rFonts w:ascii="Arial" w:cs="Arial" w:eastAsia="Arial" w:hAnsi="Arial"/>
          <w:b w:val="false"/>
          <w:bCs w:val="false"/>
          <w:color w:val="000000"/>
          <w:sz w:val="22"/>
          <w:szCs w:val="22"/>
        </w:rPr>
        <w:t xml:space="preserve">MacQueen, J. (1967). Some methods for classification and analysis of multivariate observations. Proceedings of the Fifth Berkeley Symposium on Mathematical Statistics and Probability, 1, 281–297.</w:t>
      </w:r>
    </w:p>
    <w:p>
      <w:pPr>
        <w:spacing w:after="160" w:before="0" w:line="360"/>
        <w:jc w:val="both"/>
      </w:pPr>
      <w:r>
        <w:rPr>
          <w:rFonts w:ascii="Arial" w:cs="Arial" w:eastAsia="Arial" w:hAnsi="Arial"/>
          <w:b w:val="false"/>
          <w:bCs w:val="false"/>
          <w:color w:val="000000"/>
          <w:sz w:val="22"/>
          <w:szCs w:val="22"/>
        </w:rPr>
        <w:t xml:space="preserve">Norris, J. R. (1997). Markov chains. Cambridge University Press. https://doi.org/10.1017/CBO9780511810633</w:t>
      </w:r>
    </w:p>
    <w:p>
      <w:pPr>
        <w:spacing w:after="160" w:before="0" w:line="360"/>
        <w:jc w:val="both"/>
      </w:pPr>
      <w:r>
        <w:rPr>
          <w:rFonts w:ascii="Arial" w:cs="Arial" w:eastAsia="Arial" w:hAnsi="Arial"/>
          <w:b w:val="false"/>
          <w:bCs w:val="false"/>
          <w:color w:val="000000"/>
          <w:sz w:val="22"/>
          <w:szCs w:val="22"/>
        </w:rPr>
        <w:t xml:space="preserve">Rousseeuw, P. J. (1987). Silhouettes: A graphical aid to the interpretation and validation of cluster analysis. Journal of Computational and Applied Mathematics, 20, 53–65. https://doi.org/10.1016/0377-0427(87)90125-7</w:t>
      </w:r>
    </w:p>
    <w:p>
      <w:pPr>
        <w:spacing w:after="160" w:before="0" w:line="360"/>
        <w:jc w:val="both"/>
      </w:pPr>
      <w:r>
        <w:rPr>
          <w:rFonts w:ascii="Arial" w:cs="Arial" w:eastAsia="Arial" w:hAnsi="Arial"/>
          <w:b w:val="false"/>
          <w:bCs w:val="false"/>
          <w:color w:val="000000"/>
          <w:sz w:val="22"/>
          <w:szCs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60" w:before="0" w:line="360"/>
        <w:jc w:val="both"/>
      </w:pPr>
      <w:r>
        <w:rPr>
          <w:rFonts w:ascii="Arial" w:cs="Arial" w:eastAsia="Arial" w:hAnsi="Arial"/>
          <w:b w:val="false"/>
          <w:bCs w:val="false"/>
          <w:color w:val="000000"/>
          <w:sz w:val="22"/>
          <w:szCs w:val="22"/>
        </w:rPr>
        <w:t xml:space="preserve">Shannon, C. E. (1948). A mathematical theory of communication. The Bell System Technical Journal, 27(3), 379–423. https://doi.org/10.1002/j.1538-7305.1948.tb01338.x</w:t>
      </w:r>
    </w:p>
    <w:p>
      <w:pPr>
        <w:spacing w:after="160" w:before="0" w:line="360"/>
        <w:jc w:val="both"/>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160" w:before="0" w:line="360"/>
        <w:jc w:val="both"/>
      </w:pPr>
      <w:r>
        <w:rPr>
          <w:rFonts w:ascii="Arial" w:cs="Arial" w:eastAsia="Arial" w:hAnsi="Arial"/>
          <w:b w:val="false"/>
          <w:bCs w:val="false"/>
          <w:color w:val="000000"/>
          <w:sz w:val="22"/>
          <w:szCs w:val="22"/>
        </w:rPr>
        <w:t xml:space="preserve">Yoon, H., &amp; Choi, S. H. (2023). Technologies for sleep monitoring at home: wearables and nearables. Biomedical Engineering Letters, 13(3), 313–327. https://doi.org/10.1007/s13534-023-00305-8</w:t>
      </w:r>
    </w:p>
    <w:p>
      <w:pPr>
        <w:spacing w:after="80" w:before="0"/>
      </w:pPr>
      <w:r>
        <w:t xml:space="preserve"/>
      </w:r>
    </w:p>
    <w:p>
      <w:pPr>
        <w:spacing w:after="160" w:before="0" w:line="360"/>
        <w:jc w:val="both"/>
      </w:pPr>
      <w:r>
        <w:rPr>
          <w:rFonts w:ascii="Arial" w:cs="Arial" w:eastAsia="Arial" w:hAnsi="Arial"/>
          <w:b w:val="false"/>
          <w:bCs w:val="false"/>
          <w:color w:val="000000"/>
          <w:sz w:val="22"/>
          <w:szCs w:val="22"/>
        </w:rPr>
        <w:t xml:space="preserve">Continúa en Capítulo 4 — Resultados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Proyecto APNEA — Cap. 3: Materiales y Métodos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2026-05-24T12:13:48.742Z</dcterms:created>
  <dcterms:modified xsi:type="dcterms:W3CDTF">2026-05-24T12:13:48.742Z</dcterms:modified>
</cp:coreProperties>
</file>

<file path=docProps/custom.xml><?xml version="1.0" encoding="utf-8"?>
<Properties xmlns="http://schemas.openxmlformats.org/officeDocument/2006/custom-properties" xmlns:vt="http://schemas.openxmlformats.org/officeDocument/2006/docPropsVTypes"/>
</file>