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3A5F" w:sz="8" w:space="8"/>
        </w:pBdr>
        <w:spacing w:after="280" w:before="360"/>
      </w:pPr>
      <w:r>
        <w:rPr>
          <w:rFonts w:ascii="Arial" w:cs="Arial" w:eastAsia="Arial" w:hAnsi="Arial"/>
          <w:b/>
          <w:bCs/>
          <w:color w:val="1E3A5F"/>
          <w:sz w:val="36"/>
          <w:szCs w:val="36"/>
        </w:rPr>
        <w:t xml:space="preserve">Capítulo 4: Fenotipado Morfológico y Respuesta Autonómica de los Eventos de Desaturación</w:t>
      </w:r>
    </w:p>
    <w:p>
      <w:pPr>
        <w:spacing w:after="160" w:line="276" w:lineRule="auto"/>
        <w:jc w:val="both"/>
      </w:pPr>
      <w:r>
        <w:rPr>
          <w:rFonts w:ascii="Arial" w:cs="Arial" w:eastAsia="Arial" w:hAnsi="Arial"/>
          <w:sz w:val="22"/>
          <w:szCs w:val="22"/>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Fonts w:ascii="Arial" w:cs="Arial" w:eastAsia="Arial" w:hAnsi="Arial"/>
          <w:i/>
          <w:iCs/>
          <w:sz w:val="22"/>
          <w:szCs w:val="22"/>
        </w:rPr>
        <w:t xml:space="preserve">K</w:t>
      </w:r>
      <w:r>
        <w:rPr>
          <w:rFonts w:ascii="Arial" w:cs="Arial" w:eastAsia="Arial" w:hAnsi="Arial"/>
          <w:sz w:val="22"/>
          <w:szCs w:val="22"/>
        </w:rPr>
        <w:t xml:space="preserve">-means sobre el corpus completo, y el cálculo del Índice de Respuesta Autonómica (ARI). El presente capítulo expone los resultados de esa caracterización: los cinco morfotipos de curva SpO₂ (C1–C5), sus propiedades morfológicas y autonómicas, el diagnóstico del índice de respuesta original y la validación multi-noche de las métricas derivadas. En conjunto, estos resultados buscan demostrar que los EDOs no son fisiológicamente equivalentes entre sí y que la dimensión autonómica de la respuesta —medida por el ARI— aporta información ortogonal a los índices convencionales de severidad. La síntesis de este nivel de análisis alimenta la construcción de la matriz de </w:t>
      </w:r>
      <w:r>
        <w:rPr>
          <w:rFonts w:ascii="Arial" w:cs="Arial" w:eastAsia="Arial" w:hAnsi="Arial"/>
          <w:i/>
          <w:iCs/>
          <w:sz w:val="22"/>
          <w:szCs w:val="22"/>
        </w:rPr>
        <w:t xml:space="preserve">features</w:t>
      </w:r>
      <w:r>
        <w:rPr>
          <w:rFonts w:ascii="Arial" w:cs="Arial" w:eastAsia="Arial" w:hAnsi="Arial"/>
          <w:sz w:val="22"/>
          <w:szCs w:val="22"/>
        </w:rPr>
        <w:t xml:space="preserve"> nocturnas que se desarrolla en el Capítulo 5.</w:t>
      </w:r>
    </w:p>
    <w:p>
      <w:pPr>
        <w:spacing w:after="80"/>
      </w:pPr>
      <w:r>
        <w:t xml:space="preserve"/>
      </w:r>
    </w:p>
    <w:p>
      <w:pPr>
        <w:pStyle w:val="Heading2"/>
        <w:spacing w:after="160" w:before="300"/>
      </w:pPr>
      <w:r>
        <w:rPr>
          <w:rFonts w:ascii="Arial" w:cs="Arial" w:eastAsia="Arial" w:hAnsi="Arial"/>
          <w:b/>
          <w:bCs/>
          <w:color w:val="1E3A5F"/>
          <w:sz w:val="28"/>
          <w:szCs w:val="28"/>
        </w:rPr>
        <w:t xml:space="preserve">4.1  Descripción del corpus de eventos</w:t>
      </w:r>
    </w:p>
    <w:p>
      <w:pPr>
        <w:spacing w:after="160" w:line="276" w:lineRule="auto"/>
        <w:jc w:val="both"/>
      </w:pPr>
      <w:r>
        <w:rPr>
          <w:rFonts w:ascii="Arial" w:cs="Arial" w:eastAsia="Arial" w:hAnsi="Arial"/>
          <w:sz w:val="22"/>
          <w:szCs w:val="22"/>
        </w:rPr>
        <w:t xml:space="preserve">El pipeline PAC_v2 procesó registros domiciliarios de 12 pacientes, dando lugar a un corpus de 560 noches </w:t>
      </w:r>
      <w:r>
        <w:rPr>
          <w:rFonts w:ascii="Arial" w:cs="Arial" w:eastAsia="Arial" w:hAnsi="Arial"/>
          <w:i/>
          <w:iCs/>
          <w:sz w:val="22"/>
          <w:szCs w:val="22"/>
        </w:rPr>
        <w:t xml:space="preserve">in_quality</w:t>
      </w:r>
      <w:r>
        <w:rPr>
          <w:rFonts w:ascii="Arial" w:cs="Arial" w:eastAsia="Arial" w:hAnsi="Arial"/>
          <w:sz w:val="22"/>
          <w:szCs w:val="22"/>
        </w:rPr>
        <w:t xml:space="preserve"> con un total de 85.277 EDOs con señal válida (cohorte completa). La duración media de registro fue de 5,8 ± 1,5 horas por noche, lo que representa aproximadamente 3.248 horas acumuladas de tiempo de sueño (TST). A fin de garantizar estimados longitudinales fiables, los análisis de </w:t>
      </w:r>
      <w:r>
        <w:rPr>
          <w:rFonts w:ascii="Arial" w:cs="Arial" w:eastAsia="Arial" w:hAnsi="Arial"/>
          <w:i/>
          <w:iCs/>
          <w:sz w:val="22"/>
          <w:szCs w:val="22"/>
        </w:rPr>
        <w:t xml:space="preserve">clustering</w:t>
      </w:r>
      <w:r>
        <w:rPr>
          <w:rFonts w:ascii="Arial" w:cs="Arial" w:eastAsia="Arial" w:hAnsi="Arial"/>
          <w:sz w:val="22"/>
          <w:szCs w:val="22"/>
        </w:rPr>
        <w:t xml:space="preserve"> y de respuesta autonómica utilizaron la cohorte completa (12 pacientes, N = 85.277 EDOs), mientras que los modelos predictivos de los capítulos siguientes restringieron la muestra a la cohorte estricta (8 pacientes con ≥ 10 noches </w:t>
      </w:r>
      <w:r>
        <w:rPr>
          <w:rFonts w:ascii="Arial" w:cs="Arial" w:eastAsia="Arial" w:hAnsi="Arial"/>
          <w:i/>
          <w:iCs/>
          <w:sz w:val="22"/>
          <w:szCs w:val="22"/>
        </w:rPr>
        <w:t xml:space="preserve">in_quality</w:t>
      </w:r>
      <w:r>
        <w:rPr>
          <w:rFonts w:ascii="Arial" w:cs="Arial" w:eastAsia="Arial" w:hAnsi="Arial"/>
          <w:sz w:val="22"/>
          <w:szCs w:val="22"/>
        </w:rPr>
        <w:t xml:space="preserve">; 83.672 EDOs), cuyos fundamentos metodológicos y criterios de inclusión se explicitaron en §3.1.</w:t>
      </w:r>
    </w:p>
    <w:p>
      <w:pPr>
        <w:spacing w:after="160" w:line="276" w:lineRule="auto"/>
        <w:jc w:val="both"/>
      </w:pPr>
      <w:r>
        <w:rPr>
          <w:rFonts w:ascii="Arial" w:cs="Arial" w:eastAsia="Arial" w:hAnsi="Arial"/>
          <w:sz w:val="22"/>
          <w:szCs w:val="22"/>
        </w:rPr>
        <w:t xml:space="preserve">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w:t>
      </w:r>
    </w:p>
    <w:p>
      <w:pPr>
        <w:spacing w:after="80"/>
      </w:pPr>
      <w:r>
        <w:t xml:space="preserve"/>
      </w:r>
    </w:p>
    <w:p>
      <w:pPr>
        <w:spacing w:after="80" w:before="80"/>
        <w:jc w:val="center"/>
      </w:pPr>
      <w:r>
        <w:rPr>
          <w:rFonts w:ascii="Arial" w:cs="Arial" w:eastAsia="Arial" w:hAnsi="Arial"/>
          <w:b/>
          <w:bCs/>
          <w:sz w:val="18"/>
          <w:szCs w:val="18"/>
        </w:rPr>
        <w:t xml:space="preserve">Tabla 4.1. Distribución de la cohorte por categoría AASM según ODI3.</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1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 AASM</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 ODI3 (ev/h)</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ODI3 medio ± DE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Normal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&lt; 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29</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3,2 ± 1,1</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 – 15</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259</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46,2 %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 ± 2,9</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 – 30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218</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38,9 %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21,3 ± 3,8</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30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9,6 %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44,8 ± 11,2</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Total / Global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560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100 %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17,9 ± 14,1</w:t>
            </w:r>
          </w:p>
        </w:tc>
      </w:tr>
    </w:tbl>
    <w:p>
      <w:pPr>
        <w:spacing w:after="200" w:before="60"/>
        <w:jc w:val="center"/>
      </w:pPr>
      <w:r>
        <w:rPr>
          <w:rFonts w:ascii="Arial" w:cs="Arial" w:eastAsia="Arial" w:hAnsi="Arial"/>
          <w:i/>
          <w:iCs/>
          <w:color w:val="444444"/>
          <w:sz w:val="18"/>
          <w:szCs w:val="18"/>
        </w:rPr>
        <w:t xml:space="preserve">Nota. DE = desviación estándar. ODI3: umbral de desaturación de 3 puntos porcentuales. N = 560 noches.</w:t>
      </w:r>
    </w:p>
    <w:p>
      <w:pPr>
        <w:spacing w:after="80"/>
      </w:pPr>
      <w:r>
        <w:t xml:space="preserve"/>
      </w:r>
    </w:p>
    <w:p>
      <w:pPr>
        <w:pStyle w:val="Heading2"/>
        <w:spacing w:after="160" w:before="300"/>
      </w:pPr>
      <w:r>
        <w:rPr>
          <w:rFonts w:ascii="Arial" w:cs="Arial" w:eastAsia="Arial" w:hAnsi="Arial"/>
          <w:b/>
          <w:bCs/>
          <w:color w:val="1E3A5F"/>
          <w:sz w:val="28"/>
          <w:szCs w:val="28"/>
        </w:rPr>
        <w:t xml:space="preserve">4.2  Fenotipado morfológico de los EDOs (NB01)</w:t>
      </w:r>
    </w:p>
    <w:p>
      <w:pPr>
        <w:spacing w:after="160" w:line="276" w:lineRule="auto"/>
        <w:jc w:val="both"/>
      </w:pPr>
      <w:r>
        <w:rPr>
          <w:rFonts w:ascii="Arial" w:cs="Arial" w:eastAsia="Arial" w:hAnsi="Arial"/>
          <w:sz w:val="22"/>
          <w:szCs w:val="22"/>
        </w:rPr>
        <w:t xml:space="preserve">El análisis morfológico operó sobre el espacio de curvas de SpO₂ de 30 puntos normalizados (§3.4). El PCA previo al </w:t>
      </w:r>
      <w:r>
        <w:rPr>
          <w:rFonts w:ascii="Arial" w:cs="Arial" w:eastAsia="Arial" w:hAnsi="Arial"/>
          <w:i/>
          <w:iCs/>
          <w:sz w:val="22"/>
          <w:szCs w:val="22"/>
        </w:rPr>
        <w:t xml:space="preserve">clustering</w:t>
      </w:r>
      <w:r>
        <w:rPr>
          <w:rFonts w:ascii="Arial" w:cs="Arial" w:eastAsia="Arial" w:hAnsi="Arial"/>
          <w:sz w:val="22"/>
          <w:szCs w:val="22"/>
        </w:rP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pPr>
        <w:pStyle w:val="Heading3"/>
        <w:spacing w:after="100" w:before="220"/>
      </w:pPr>
      <w:r>
        <w:rPr>
          <w:rFonts w:ascii="Arial" w:cs="Arial" w:eastAsia="Arial" w:hAnsi="Arial"/>
          <w:b/>
          <w:bCs/>
          <w:color w:val="2C4E72"/>
          <w:sz w:val="24"/>
          <w:szCs w:val="24"/>
        </w:rPr>
        <w:t xml:space="preserve">4.2.1  Selección del número de grupos</w:t>
      </w:r>
    </w:p>
    <w:p>
      <w:pPr>
        <w:spacing w:after="160" w:line="276" w:lineRule="auto"/>
        <w:jc w:val="both"/>
      </w:pPr>
      <w:r>
        <w:rPr>
          <w:rFonts w:ascii="Arial" w:cs="Arial" w:eastAsia="Arial" w:hAnsi="Arial"/>
          <w:sz w:val="22"/>
          <w:szCs w:val="22"/>
        </w:rPr>
        <w:t xml:space="preserve">Se evaluaron valores de K entre 2 y 8. La métrica </w:t>
      </w:r>
      <w:r>
        <w:rPr>
          <w:rFonts w:ascii="Arial" w:cs="Arial" w:eastAsia="Arial" w:hAnsi="Arial"/>
          <w:i/>
          <w:iCs/>
          <w:sz w:val="22"/>
          <w:szCs w:val="22"/>
        </w:rPr>
        <w:t xml:space="preserve">Silhouette</w:t>
      </w:r>
      <w:r>
        <w:rPr>
          <w:rFonts w:ascii="Arial" w:cs="Arial" w:eastAsia="Arial" w:hAnsi="Arial"/>
          <w:sz w:val="22"/>
          <w:szCs w:val="22"/>
        </w:rPr>
        <w:t xml:space="preserve"> arrojó un máximo local en K = 5 (coeficiente = 0,386 &gt; K = 4 = 0,381), que se tomó como criterio principal (Rousseeuw, 1987). El análisis de la curva de inercia (</w:t>
      </w:r>
      <w:r>
        <w:rPr>
          <w:rFonts w:ascii="Arial" w:cs="Arial" w:eastAsia="Arial" w:hAnsi="Arial"/>
          <w:i/>
          <w:iCs/>
          <w:sz w:val="22"/>
          <w:szCs w:val="22"/>
        </w:rPr>
        <w:t xml:space="preserve">elbow</w:t>
      </w:r>
      <w:r>
        <w:rPr>
          <w:rFonts w:ascii="Arial" w:cs="Arial" w:eastAsia="Arial" w:hAnsi="Arial"/>
          <w:sz w:val="22"/>
          <w:szCs w:val="22"/>
        </w:rP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rFonts w:ascii="Arial" w:cs="Arial" w:eastAsia="Arial" w:hAnsi="Arial"/>
          <w:i/>
          <w:iCs/>
          <w:sz w:val="22"/>
          <w:szCs w:val="22"/>
        </w:rPr>
        <w:t xml:space="preserve">baseline</w:t>
      </w:r>
      <w:r>
        <w:rPr>
          <w:rFonts w:ascii="Arial" w:cs="Arial" w:eastAsia="Arial" w:hAnsi="Arial"/>
          <w:sz w:val="22"/>
          <w:szCs w:val="22"/>
        </w:rPr>
        <w:t xml:space="preserve">), dos fenotipos con relevancia clínica diferente que los morfotipos escalares (</w:t>
      </w:r>
      <w:r>
        <w:rPr>
          <w:rFonts w:ascii="Arial" w:cs="Arial" w:eastAsia="Arial" w:hAnsi="Arial"/>
          <w:i/>
          <w:iCs/>
          <w:sz w:val="22"/>
          <w:szCs w:val="22"/>
        </w:rPr>
        <w:t xml:space="preserve">rule-based</w:t>
      </w:r>
      <w:r>
        <w:rPr>
          <w:rFonts w:ascii="Arial" w:cs="Arial" w:eastAsia="Arial" w:hAnsi="Arial"/>
          <w:sz w:val="22"/>
          <w:szCs w:val="22"/>
        </w:rPr>
        <w:t xml:space="preserve">) no capturaban de forma limpia.</w:t>
      </w:r>
    </w:p>
    <w:p>
      <w:pPr>
        <w:pStyle w:val="Heading3"/>
        <w:spacing w:after="100" w:before="220"/>
      </w:pPr>
      <w:r>
        <w:rPr>
          <w:rFonts w:ascii="Arial" w:cs="Arial" w:eastAsia="Arial" w:hAnsi="Arial"/>
          <w:b/>
          <w:bCs/>
          <w:color w:val="2C4E72"/>
          <w:sz w:val="24"/>
          <w:szCs w:val="24"/>
        </w:rPr>
        <w:t xml:space="preserve">4.2.2  Perfiles morfológicos de los cinco fenotipos</w:t>
      </w:r>
    </w:p>
    <w:p>
      <w:pPr>
        <w:spacing w:after="160" w:line="276" w:lineRule="auto"/>
        <w:jc w:val="both"/>
      </w:pPr>
      <w:r>
        <w:rPr>
          <w:rFonts w:ascii="Arial" w:cs="Arial" w:eastAsia="Arial" w:hAnsi="Arial"/>
          <w:sz w:val="22"/>
          <w:szCs w:val="22"/>
        </w:rPr>
        <w:t xml:space="preserve">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lo cual podría reflejar distintos mecanismos fisiopatológicos —obstrucción aguda, atonía muscular prolongada o agotamiento de los quimiorreflexos, respectivamente (Prabhakar, 2016).</w:t>
      </w:r>
    </w:p>
    <w:p>
      <w:pPr>
        <w:spacing w:after="80"/>
      </w:pPr>
      <w:r>
        <w:t xml:space="preserve"/>
      </w:r>
    </w:p>
    <w:p>
      <w:pPr>
        <w:spacing w:after="80" w:before="80"/>
        <w:jc w:val="center"/>
      </w:pPr>
      <w:r>
        <w:rPr>
          <w:rFonts w:ascii="Arial" w:cs="Arial" w:eastAsia="Arial" w:hAnsi="Arial"/>
          <w:b/>
          <w:bCs/>
          <w:sz w:val="18"/>
          <w:szCs w:val="18"/>
        </w:rPr>
        <w:t xml:space="preserve">Tabla 4.2. Perfiles morfológicos de los cinco fenotipos de curva de SpO₂ (corpus completo, N = 84.248 EDOs con morfotipo asignado).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500"/>
        <w:gridCol w:w="1550"/>
        <w:gridCol w:w="1550"/>
        <w:gridCol w:w="2272"/>
      </w:tblGrid>
      <w:tr>
        <w:trPr>
          <w:tblHeader/>
        </w:trPr>
        <w:tc>
          <w:tcPr>
            <w:tcW w:type="dxa" w:w="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3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Nadir ΔSpO₂ (media)</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Posición nadir</w:t>
            </w:r>
          </w:p>
        </w:tc>
        <w:tc>
          <w:tcPr>
            <w:tcW w:type="dxa" w:w="22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fisiológico</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54.326</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 del evento</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Subcrítico — caída mínima, simétrica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21.146</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-4,1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Leve-moderado — caída sostenida con recuperación completa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3.599</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-7,2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agudo — caída profunda rápida con recuperación abrupta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4.377</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escalonado — caída asimétrica, recuperación lenta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800</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-10,1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65 %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Progresivo crítico — caída máxima sin retorno a la línea de base</w:t>
            </w:r>
          </w:p>
        </w:tc>
      </w:tr>
    </w:tbl>
    <w:p>
      <w:pPr>
        <w:spacing w:after="200" w:before="60"/>
        <w:jc w:val="center"/>
      </w:pPr>
      <w:r>
        <w:rPr>
          <w:rFonts w:ascii="Arial" w:cs="Arial" w:eastAsia="Arial" w:hAnsi="Arial"/>
          <w:i/>
          <w:iCs/>
          <w:color w:val="444444"/>
          <w:sz w:val="18"/>
          <w:szCs w:val="18"/>
        </w:rPr>
        <w:t xml:space="preserve">Nota. Nadir ΔSpO₂: caída máxima respecto al baseline local (mediana, puntos porcentuales). Posición nadir: instante del nadir como porcentaje de la duración total del evento. pp: puntos porcentuales.</w:t>
      </w:r>
    </w:p>
    <w:p>
      <w:pPr>
        <w:spacing w:after="80"/>
      </w:pPr>
      <w:r>
        <w:t xml:space="preserve"/>
      </w:r>
    </w:p>
    <w:p>
      <w:pPr>
        <w:pStyle w:val="Heading3"/>
        <w:spacing w:after="100" w:before="220"/>
      </w:pPr>
      <w:r>
        <w:rPr>
          <w:rFonts w:ascii="Arial" w:cs="Arial" w:eastAsia="Arial" w:hAnsi="Arial"/>
          <w:b/>
          <w:bCs/>
          <w:color w:val="2C4E72"/>
          <w:sz w:val="24"/>
          <w:szCs w:val="24"/>
        </w:rPr>
        <w:t xml:space="preserve">4.2.3  Distribución de morfotipos y carga hipóxica acumulada</w:t>
      </w:r>
    </w:p>
    <w:p>
      <w:pPr>
        <w:spacing w:after="160" w:line="276" w:lineRule="auto"/>
        <w:jc w:val="both"/>
      </w:pPr>
      <w:r>
        <w:rPr>
          <w:rFonts w:ascii="Arial" w:cs="Arial" w:eastAsia="Arial" w:hAnsi="Arial"/>
          <w:sz w:val="22"/>
          <w:szCs w:val="22"/>
        </w:rPr>
        <w:t xml:space="preserve">Los morfotipos severos C4 y C5 concentraron 5.177 eventos (6,1 % del corpus), cifra que podría subestimar su impacto real: al calcular la carga hipóxica (</w:t>
      </w:r>
      <w:r>
        <w:rPr>
          <w:rFonts w:ascii="Arial" w:cs="Arial" w:eastAsia="Arial" w:hAnsi="Arial"/>
          <w:i/>
          <w:iCs/>
          <w:sz w:val="22"/>
          <w:szCs w:val="22"/>
        </w:rPr>
        <w:t xml:space="preserve">hypoxic burden</w:t>
      </w:r>
      <w:r>
        <w:rPr>
          <w:rFonts w:ascii="Arial" w:cs="Arial" w:eastAsia="Arial" w:hAnsi="Arial"/>
          <w:sz w:val="22"/>
          <w:szCs w:val="22"/>
        </w:rP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rFonts w:ascii="Arial" w:cs="Arial" w:eastAsia="Arial" w:hAnsi="Arial"/>
          <w:i/>
          <w:iCs/>
          <w:sz w:val="22"/>
          <w:szCs w:val="22"/>
        </w:rPr>
        <w:t xml:space="preserve">baseline</w:t>
      </w:r>
      <w:r>
        <w:rPr>
          <w:rFonts w:ascii="Arial" w:cs="Arial" w:eastAsia="Arial" w:hAnsi="Arial"/>
          <w:sz w:val="22"/>
          <w:szCs w:val="22"/>
        </w:rPr>
        <w:t xml:space="preserve">— representó apenas el 0,9 % de los eventos pero presumiblemente la fracción más crítica de la carga hipóxica nocturna.</w:t>
      </w:r>
    </w:p>
    <w:p>
      <w:pPr>
        <w:pStyle w:val="Heading3"/>
        <w:spacing w:after="100" w:before="220"/>
      </w:pPr>
      <w:r>
        <w:rPr>
          <w:rFonts w:ascii="Arial" w:cs="Arial" w:eastAsia="Arial" w:hAnsi="Arial"/>
          <w:b/>
          <w:bCs/>
          <w:color w:val="2C4E72"/>
          <w:sz w:val="24"/>
          <w:szCs w:val="24"/>
        </w:rPr>
        <w:t xml:space="preserve">4.2.4  Intervalo inter-evento</w:t>
      </w:r>
    </w:p>
    <w:p>
      <w:pPr>
        <w:spacing w:after="160" w:line="276" w:lineRule="auto"/>
        <w:jc w:val="both"/>
      </w:pPr>
      <w:r>
        <w:rPr>
          <w:rFonts w:ascii="Arial" w:cs="Arial" w:eastAsia="Arial" w:hAnsi="Arial"/>
          <w:sz w:val="22"/>
          <w:szCs w:val="22"/>
        </w:rPr>
        <w:t xml:space="preserve">El intervalo inter-evento (IEI) mediano fue de 82 segundos, con el 62,8 % de los pares de eventos consecutivos separados por menos de 2 minutos. Esta distribución sugiere que la apnea obstructiva del sueño se organiza en episodios agrupados más que en eventos aislados, consistente con la descripción de "trenes apneicos" documentada en la literatura (Oliven et al., 2020). El patrón de agrupación temporal también podría tener implicancias para los modelos de predicción de próximo evento (Capítulo 6), dado que la ocurrencia reciente de un EDO constituye un predictor del siguiente.</w:t>
      </w:r>
    </w:p>
    <w:p>
      <w:pPr>
        <w:pStyle w:val="Heading3"/>
        <w:spacing w:after="100" w:before="220"/>
      </w:pPr>
      <w:r>
        <w:rPr>
          <w:rFonts w:ascii="Arial" w:cs="Arial" w:eastAsia="Arial" w:hAnsi="Arial"/>
          <w:b/>
          <w:bCs/>
          <w:color w:val="2C4E72"/>
          <w:sz w:val="24"/>
          <w:szCs w:val="24"/>
        </w:rPr>
        <w:t xml:space="preserve">4.2.5  Correspondencia con morfotipos escalares (α–δ)</w:t>
      </w:r>
    </w:p>
    <w:p>
      <w:pPr>
        <w:spacing w:after="160" w:line="276" w:lineRule="auto"/>
        <w:jc w:val="both"/>
      </w:pPr>
      <w:r>
        <w:rPr>
          <w:rFonts w:ascii="Arial" w:cs="Arial" w:eastAsia="Arial" w:hAnsi="Arial"/>
          <w:sz w:val="22"/>
          <w:szCs w:val="22"/>
        </w:rPr>
        <w:t xml:space="preserve">El pipeline PAC_v2 cuenta con dos sistemas de morfotipos: el </w:t>
      </w:r>
      <w:r>
        <w:rPr>
          <w:rFonts w:ascii="Arial" w:cs="Arial" w:eastAsia="Arial" w:hAnsi="Arial"/>
          <w:i/>
          <w:iCs/>
          <w:sz w:val="22"/>
          <w:szCs w:val="22"/>
        </w:rPr>
        <w:t xml:space="preserve">data-driven</w:t>
      </w:r>
      <w:r>
        <w:rPr>
          <w:rFonts w:ascii="Arial" w:cs="Arial" w:eastAsia="Arial" w:hAnsi="Arial"/>
          <w:sz w:val="22"/>
          <w:szCs w:val="22"/>
        </w:rPr>
        <w:t xml:space="preserve"> de curva (C1–C5, objeto de este capítulo) y el basado en reglas escalares (α/β/γ/δ, construido sobre 10 </w:t>
      </w:r>
      <w:r>
        <w:rPr>
          <w:rFonts w:ascii="Arial" w:cs="Arial" w:eastAsia="Arial" w:hAnsi="Arial"/>
          <w:i/>
          <w:iCs/>
          <w:sz w:val="22"/>
          <w:szCs w:val="22"/>
        </w:rPr>
        <w:t xml:space="preserve">features</w:t>
      </w:r>
      <w:r>
        <w:rPr>
          <w:rFonts w:ascii="Arial" w:cs="Arial" w:eastAsia="Arial" w:hAnsi="Arial"/>
          <w:sz w:val="22"/>
          <w:szCs w:val="22"/>
        </w:rPr>
        <w:t xml:space="preserve"> morfológicas resumen). La Tabla 4.3 muestra el </w:t>
      </w:r>
      <w:r>
        <w:rPr>
          <w:rFonts w:ascii="Arial" w:cs="Arial" w:eastAsia="Arial" w:hAnsi="Arial"/>
          <w:i/>
          <w:iCs/>
          <w:sz w:val="22"/>
          <w:szCs w:val="22"/>
        </w:rPr>
        <w:t xml:space="preserve">overlap</w:t>
      </w:r>
      <w:r>
        <w:rPr>
          <w:rFonts w:ascii="Arial" w:cs="Arial" w:eastAsia="Arial" w:hAnsi="Arial"/>
          <w:sz w:val="22"/>
          <w:szCs w:val="22"/>
        </w:rPr>
        <w:t xml:space="preserve"> entre ambos sistemas. La convergencia más notable fue la del morfotipo γ </w:t>
      </w:r>
      <w:r>
        <w:rPr>
          <w:rFonts w:ascii="Arial" w:cs="Arial" w:eastAsia="Arial" w:hAnsi="Arial"/>
          <w:i/>
          <w:iCs/>
          <w:sz w:val="22"/>
          <w:szCs w:val="22"/>
        </w:rPr>
        <w:t xml:space="preserve">rule-based</w:t>
      </w:r>
      <w:r>
        <w:rPr>
          <w:rFonts w:ascii="Arial" w:cs="Arial" w:eastAsia="Arial" w:hAnsi="Arial"/>
          <w:sz w:val="22"/>
          <w:szCs w:val="22"/>
        </w:rPr>
        <w:t xml:space="preserve">, que concentró C4 y C5 del sistema de curvas (36 % y 26 %, respectivamente). Sin embargo, γ incluyó también un 33 % de eventos C3, mostrando fronteras más difusas que las del sistema de curva. El morfotipo δ </w:t>
      </w:r>
      <w:r>
        <w:rPr>
          <w:rFonts w:ascii="Arial" w:cs="Arial" w:eastAsia="Arial" w:hAnsi="Arial"/>
          <w:i/>
          <w:iCs/>
          <w:sz w:val="22"/>
          <w:szCs w:val="22"/>
        </w:rPr>
        <w:t xml:space="preserve">rule-based</w:t>
      </w:r>
      <w:r>
        <w:rPr>
          <w:rFonts w:ascii="Arial" w:cs="Arial" w:eastAsia="Arial" w:hAnsi="Arial"/>
          <w:sz w:val="22"/>
          <w:szCs w:val="22"/>
        </w:rPr>
        <w:t xml:space="preserve">, con 60.878 eventos, careció de correspondencia morfológica limpia, lo que reforzó la decisión de priorizar los </w:t>
      </w:r>
      <w:r>
        <w:rPr>
          <w:rFonts w:ascii="Arial" w:cs="Arial" w:eastAsia="Arial" w:hAnsi="Arial"/>
          <w:i/>
          <w:iCs/>
          <w:sz w:val="22"/>
          <w:szCs w:val="22"/>
        </w:rPr>
        <w:t xml:space="preserve">C-labels</w:t>
      </w:r>
      <w:r>
        <w:rPr>
          <w:rFonts w:ascii="Arial" w:cs="Arial" w:eastAsia="Arial" w:hAnsi="Arial"/>
          <w:sz w:val="22"/>
          <w:szCs w:val="22"/>
        </w:rPr>
        <w:t xml:space="preserve"> como referencia para los análisis de severidad.</w:t>
      </w:r>
    </w:p>
    <w:p>
      <w:pPr>
        <w:spacing w:after="80"/>
      </w:pPr>
      <w:r>
        <w:t xml:space="preserve"/>
      </w:r>
    </w:p>
    <w:p>
      <w:pPr>
        <w:spacing w:after="80" w:before="80"/>
        <w:jc w:val="center"/>
      </w:pPr>
      <w:r>
        <w:rPr>
          <w:rFonts w:ascii="Arial" w:cs="Arial" w:eastAsia="Arial" w:hAnsi="Arial"/>
          <w:b/>
          <w:bCs/>
          <w:sz w:val="18"/>
          <w:szCs w:val="18"/>
        </w:rPr>
        <w:t xml:space="preserve">Tabla 4.3. Correspondencia entre morfotipos rule-based (α–δ) y morfotipos de curva (C1–C5).</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3972"/>
      </w:tblGrid>
      <w:tr>
        <w:trPr>
          <w:tblHeader/>
        </w:trPr>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 rule-based</w:t>
            </w:r>
          </w:p>
        </w:tc>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Alineación principal</w:t>
            </w:r>
          </w:p>
        </w:tc>
        <w:tc>
          <w:tcPr>
            <w:tcW w:type="dxa" w:w="3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α</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54.714</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(92,5 %)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Corresponde casi en su totalidad al pool subcrítico mayoritario</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β</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8.795</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C2 (57 %), C3 (19 %)</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leve-moderados con variabilidad de forma</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γ</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2.892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C4 (36 %), C5 (26 %), C3 (33 %)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Concentra los eventos más severos — mayor carga hipóxica acumulada</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δ</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60.878</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mayoritario + C2</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Pool heterogéneo sin correspondencia morfológica limpia</w:t>
            </w:r>
          </w:p>
        </w:tc>
      </w:tr>
    </w:tbl>
    <w:p>
      <w:pPr>
        <w:spacing w:after="200" w:before="60"/>
        <w:jc w:val="center"/>
      </w:pPr>
      <w:r>
        <w:rPr>
          <w:rFonts w:ascii="Arial" w:cs="Arial" w:eastAsia="Arial" w:hAnsi="Arial"/>
          <w:i/>
          <w:iCs/>
          <w:color w:val="444444"/>
          <w:sz w:val="18"/>
          <w:szCs w:val="18"/>
        </w:rPr>
        <w:t xml:space="preserve">Nota. Los porcentajes en la columna de alineación principal indican la fracción de eventos del morfotipo rule-based que pertenecen al morfotipo de curva indicado.</w:t>
      </w:r>
    </w:p>
    <w:p>
      <w:pPr>
        <w:spacing w:after="80"/>
      </w:pPr>
      <w:r>
        <w:t xml:space="preserve"/>
      </w:r>
    </w:p>
    <w:p>
      <w:pPr>
        <w:pStyle w:val="Heading3"/>
        <w:spacing w:after="100" w:before="220"/>
      </w:pPr>
      <w:r>
        <w:rPr>
          <w:rFonts w:ascii="Arial" w:cs="Arial" w:eastAsia="Arial" w:hAnsi="Arial"/>
          <w:b/>
          <w:bCs/>
          <w:color w:val="2C4E72"/>
          <w:sz w:val="24"/>
          <w:szCs w:val="24"/>
        </w:rPr>
        <w:t xml:space="preserve">4.2.6  Estabilidad del fenotipado: ICC entre noches</w:t>
      </w:r>
    </w:p>
    <w:p>
      <w:pPr>
        <w:spacing w:after="160" w:line="276" w:lineRule="auto"/>
        <w:jc w:val="both"/>
      </w:pPr>
      <w:r>
        <w:rPr>
          <w:rFonts w:ascii="Arial" w:cs="Arial" w:eastAsia="Arial" w:hAnsi="Arial"/>
          <w:sz w:val="22"/>
          <w:szCs w:val="22"/>
        </w:rPr>
        <w:t xml:space="preserve">Para evaluar si los morfotipos identificados constituyen rasgos del paciente y no artefactos de la noche de medición, se calculó el coeficiente de correlación intraclase ICC(1,1) sobre la fracción nocturna de cada morfotipo (Koo &amp; Mae,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pPr>
        <w:spacing w:after="80"/>
      </w:pPr>
      <w:r>
        <w:t xml:space="preserve"/>
      </w:r>
    </w:p>
    <w:p>
      <w:pPr>
        <w:spacing w:after="80" w:before="80"/>
        <w:jc w:val="center"/>
      </w:pPr>
      <w:r>
        <w:rPr>
          <w:rFonts w:ascii="Arial" w:cs="Arial" w:eastAsia="Arial" w:hAnsi="Arial"/>
          <w:b/>
          <w:bCs/>
          <w:sz w:val="18"/>
          <w:szCs w:val="18"/>
        </w:rPr>
        <w:t xml:space="preserve">Tabla 4.4. Estabilidad inter-noche de las fracciones de morfotipo. ICC(1,1) calculado sobre cohorte completa.</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772"/>
      </w:tblGrid>
      <w:tr>
        <w:trPr>
          <w:tblHeader/>
        </w:trPr>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w:t>
            </w:r>
          </w:p>
        </w:tc>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c>
          <w:tcPr>
            <w:tcW w:type="dxa" w:w="27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0,594</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Fracción nocturna reproducible — el morfotipo mayoritario</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0,684</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Moderado-bueno</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El morfotipo más estable; útil como referencia longitudinal</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0,403</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Alta variabilidad intra-paciente; eventos raros por noche</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0,461</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Algo más estable que C3 pese a menor prevalencia media</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0,510</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Clustering compacto compensa la escasez; el mayor ICC entre los severos</w:t>
            </w:r>
          </w:p>
        </w:tc>
      </w:tr>
    </w:tbl>
    <w:p>
      <w:pPr>
        <w:spacing w:after="200" w:before="60"/>
        <w:jc w:val="center"/>
      </w:pPr>
      <w:r>
        <w:rPr>
          <w:rFonts w:ascii="Arial" w:cs="Arial" w:eastAsia="Arial" w:hAnsi="Arial"/>
          <w:i/>
          <w:iCs/>
          <w:color w:val="444444"/>
          <w:sz w:val="18"/>
          <w:szCs w:val="18"/>
        </w:rPr>
        <w:t xml:space="preserve">Nota. ICC(1,1): coeficiente de correlación intraclase modelo 1. Criterios de interpretación: &lt; 0,50 = pobre; 0,50–0,75 = moderado; 0,75–0,90 = bueno; &gt; 0,90 = excelente (Koo &amp; Mae, 2016). Cálculo sobre fracciones nocturnas medias de gold/nights.parquet, cohorte full (12 pacientes).</w:t>
      </w:r>
    </w:p>
    <w:p>
      <w:pPr>
        <w:spacing w:after="80"/>
      </w:pPr>
      <w:r>
        <w:t xml:space="preserve"/>
      </w:r>
    </w:p>
    <w:p>
      <w:pPr>
        <w:pStyle w:val="Heading2"/>
        <w:spacing w:after="160" w:before="300"/>
      </w:pPr>
      <w:r>
        <w:rPr>
          <w:rFonts w:ascii="Arial" w:cs="Arial" w:eastAsia="Arial" w:hAnsi="Arial"/>
          <w:b/>
          <w:bCs/>
          <w:color w:val="1E3A5F"/>
          <w:sz w:val="28"/>
          <w:szCs w:val="28"/>
        </w:rPr>
        <w:t xml:space="preserve">4.3  Diagnóstico del IRD y definición del ARI (NB02)</w:t>
      </w:r>
    </w:p>
    <w:p>
      <w:pPr>
        <w:spacing w:after="160" w:line="276" w:lineRule="auto"/>
        <w:jc w:val="both"/>
      </w:pPr>
      <w:r>
        <w:rPr>
          <w:rFonts w:ascii="Arial" w:cs="Arial" w:eastAsia="Arial" w:hAnsi="Arial"/>
          <w:sz w:val="22"/>
          <w:szCs w:val="22"/>
        </w:rPr>
        <w:t xml:space="preserve">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Respuesta Autonómica (ARI) como alternativa validada.</w:t>
      </w:r>
    </w:p>
    <w:p>
      <w:pPr>
        <w:pStyle w:val="Heading3"/>
        <w:spacing w:after="100" w:before="220"/>
      </w:pPr>
      <w:r>
        <w:rPr>
          <w:rFonts w:ascii="Arial" w:cs="Arial" w:eastAsia="Arial" w:hAnsi="Arial"/>
          <w:b/>
          <w:bCs/>
          <w:color w:val="2C4E72"/>
          <w:sz w:val="24"/>
          <w:szCs w:val="24"/>
        </w:rPr>
        <w:t xml:space="preserve">4.3.1  Bug de escala en el IRD original</w:t>
      </w:r>
    </w:p>
    <w:p>
      <w:pPr>
        <w:spacing w:after="160" w:line="276" w:lineRule="auto"/>
        <w:jc w:val="both"/>
      </w:pPr>
      <w:r>
        <w:rPr>
          <w:rFonts w:ascii="Arial" w:cs="Arial" w:eastAsia="Arial" w:hAnsi="Arial"/>
          <w:sz w:val="22"/>
          <w:szCs w:val="22"/>
        </w:rPr>
        <w:t xml:space="preserve">El IRD original se formuló como: IRD = 0,5 × SpO₂</w:t>
      </w:r>
      <w:r>
        <w:rPr>
          <w:rFonts w:ascii="Arial" w:cs="Arial" w:eastAsia="Arial" w:hAnsi="Arial"/>
          <w:i/>
          <w:iCs/>
          <w:sz w:val="22"/>
          <w:szCs w:val="22"/>
        </w:rPr>
        <w:t xml:space="preserve">_comp</w:t>
      </w:r>
      <w:r>
        <w:rPr>
          <w:rFonts w:ascii="Arial" w:cs="Arial" w:eastAsia="Arial" w:hAnsi="Arial"/>
          <w:sz w:val="22"/>
          <w:szCs w:val="22"/>
        </w:rPr>
        <w:t xml:space="preserve"> + 0,3 × HR</w:t>
      </w:r>
      <w:r>
        <w:rPr>
          <w:rFonts w:ascii="Arial" w:cs="Arial" w:eastAsia="Arial" w:hAnsi="Arial"/>
          <w:i/>
          <w:iCs/>
          <w:sz w:val="22"/>
          <w:szCs w:val="22"/>
        </w:rPr>
        <w:t xml:space="preserve">_comp</w:t>
      </w:r>
      <w:r>
        <w:rPr>
          <w:rFonts w:ascii="Arial" w:cs="Arial" w:eastAsia="Arial" w:hAnsi="Arial"/>
          <w:sz w:val="22"/>
          <w:szCs w:val="22"/>
        </w:rPr>
        <w:t xml:space="preserve"> + 0,2 × MOV</w:t>
      </w:r>
      <w:r>
        <w:rPr>
          <w:rFonts w:ascii="Arial" w:cs="Arial" w:eastAsia="Arial" w:hAnsi="Arial"/>
          <w:i/>
          <w:iCs/>
          <w:sz w:val="22"/>
          <w:szCs w:val="22"/>
        </w:rPr>
        <w:t xml:space="preserve">_comp</w:t>
      </w:r>
      <w:r>
        <w:rPr>
          <w:rFonts w:ascii="Arial" w:cs="Arial" w:eastAsia="Arial" w:hAnsi="Arial"/>
          <w:sz w:val="22"/>
          <w:szCs w:val="22"/>
        </w:rP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rFonts w:ascii="Arial" w:cs="Arial" w:eastAsia="Arial" w:hAnsi="Arial"/>
          <w:i/>
          <w:iCs/>
          <w:sz w:val="22"/>
          <w:szCs w:val="22"/>
        </w:rPr>
        <w:t xml:space="preserve">config.py</w:t>
      </w:r>
      <w:r>
        <w:rPr>
          <w:rFonts w:ascii="Arial" w:cs="Arial" w:eastAsia="Arial" w:hAnsi="Arial"/>
          <w:sz w:val="22"/>
          <w:szCs w:val="22"/>
        </w:rPr>
        <w:t xml:space="preserve"> y se mantuvo para compatibilidad retrospectiva como </w:t>
      </w:r>
      <w:r>
        <w:rPr>
          <w:rFonts w:ascii="Arial" w:cs="Arial" w:eastAsia="Arial" w:hAnsi="Arial"/>
          <w:i/>
          <w:iCs/>
          <w:sz w:val="22"/>
          <w:szCs w:val="22"/>
        </w:rPr>
        <w:t xml:space="preserve">ird_event</w:t>
      </w:r>
      <w:r>
        <w:rPr>
          <w:rFonts w:ascii="Arial" w:cs="Arial" w:eastAsia="Arial" w:hAnsi="Arial"/>
          <w:sz w:val="22"/>
          <w:szCs w:val="22"/>
        </w:rPr>
        <w:t xml:space="preserve">, mientras que una versión corregida (IRD_v2, con percentilización por componente) se incluyó como variable auxiliar en la matriz nocturna.</w:t>
      </w:r>
    </w:p>
    <w:p>
      <w:pPr>
        <w:spacing w:after="80"/>
      </w:pPr>
      <w:r>
        <w:t xml:space="preserve"/>
      </w:r>
    </w:p>
    <w:p>
      <w:pPr>
        <w:spacing w:after="80" w:before="80"/>
        <w:jc w:val="center"/>
      </w:pPr>
      <w:r>
        <w:rPr>
          <w:rFonts w:ascii="Arial" w:cs="Arial" w:eastAsia="Arial" w:hAnsi="Arial"/>
          <w:b/>
          <w:bCs/>
          <w:sz w:val="18"/>
          <w:szCs w:val="18"/>
        </w:rPr>
        <w:t xml:space="preserve">Tabla 4.5. Contribución efectiva de cada componente al IRD original (N = 84.248 EDOs in_quality).</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700"/>
        <w:gridCol w:w="1872"/>
      </w:tblGrid>
      <w:tr>
        <w:trPr>
          <w:tblHeader/>
        </w:trPr>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Fórmula</w:t>
            </w:r>
          </w:p>
        </w:tc>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 (μ)</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efectivo real</w:t>
            </w:r>
          </w:p>
        </w:tc>
        <w:tc>
          <w:tcPr>
            <w:tcW w:type="dxa" w:w="18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nominal</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SpO₂</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drop_pct / baseline_spo2</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FC (HR)</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delta_hr_bpm / baseline_hr_bpm</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0,5 %</w:t>
            </w:r>
          </w:p>
        </w:tc>
        <w:tc>
          <w:tcPr>
            <w:tcW w:type="dxa" w:w="18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30 %</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Movimiento (MOV)</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(peak_mov − baseline_mov) / (baseline_mov + 0,01)</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13,72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98,5 %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20 %</w:t>
            </w:r>
          </w:p>
        </w:tc>
      </w:tr>
    </w:tbl>
    <w:p>
      <w:pPr>
        <w:spacing w:after="200" w:before="60"/>
        <w:jc w:val="center"/>
      </w:pPr>
      <w:r>
        <w:rPr>
          <w:rFonts w:ascii="Arial" w:cs="Arial" w:eastAsia="Arial" w:hAnsi="Arial"/>
          <w:i/>
          <w:iCs/>
          <w:color w:val="444444"/>
          <w:sz w:val="18"/>
          <w:szCs w:val="18"/>
        </w:rPr>
        <w:t xml:space="preserve">Nota. El peso efectivo real se calculó como la fracción de varianza del IRD explicada por cada componente antes de la ponderación. La diferencia de escala entre spo2_comp / hr_comp (rango 0,03–0,18) y mov_comp (rango 0,5–100) causó el desequilibrio observado.</w:t>
      </w:r>
    </w:p>
    <w:p>
      <w:pPr>
        <w:spacing w:after="80"/>
      </w:pPr>
      <w:r>
        <w:t xml:space="preserve"/>
      </w:r>
    </w:p>
    <w:p>
      <w:pPr>
        <w:pStyle w:val="Heading3"/>
        <w:spacing w:after="100" w:before="220"/>
      </w:pPr>
      <w:r>
        <w:rPr>
          <w:rFonts w:ascii="Arial" w:cs="Arial" w:eastAsia="Arial" w:hAnsi="Arial"/>
          <w:b/>
          <w:bCs/>
          <w:color w:val="2C4E72"/>
          <w:sz w:val="24"/>
          <w:szCs w:val="24"/>
        </w:rPr>
        <w:t xml:space="preserve">4.3.2  Propiedades empíricas del ARI</w:t>
      </w:r>
    </w:p>
    <w:p>
      <w:pPr>
        <w:spacing w:after="160" w:line="276" w:lineRule="auto"/>
        <w:jc w:val="both"/>
      </w:pPr>
      <w:r>
        <w:rPr>
          <w:rFonts w:ascii="Arial" w:cs="Arial" w:eastAsia="Arial" w:hAnsi="Arial"/>
          <w:sz w:val="22"/>
          <w:szCs w:val="22"/>
        </w:rPr>
        <w:t xml:space="preserve">A partir del diagnóstico del IRD, se definió el ARI (Índice de Respuesta Autonómica) —cuya fórmula exacta se explicitó en §3.4— como un cociente respuesta/estímulo percentilizado a nivel de corpus. La propiedad más relevante del ARI es su ortogonalidad respecto a la severidad hipóxica: la correlación de Spearman entre el ARI y la profundidad de la caída de SpO₂ (</w:t>
      </w:r>
      <w:r>
        <w:rPr>
          <w:rFonts w:ascii="Arial" w:cs="Arial" w:eastAsia="Arial" w:hAnsi="Arial"/>
          <w:i/>
          <w:iCs/>
          <w:sz w:val="22"/>
          <w:szCs w:val="22"/>
        </w:rPr>
        <w:t xml:space="preserve">drop_pct</w:t>
      </w:r>
      <w:r>
        <w:rPr>
          <w:rFonts w:ascii="Arial" w:cs="Arial" w:eastAsia="Arial" w:hAnsi="Arial"/>
          <w:sz w:val="22"/>
          <w:szCs w:val="22"/>
        </w:rPr>
        <w:t xml:space="preserve">) fue ρ = 0,034 (p &lt; 10⁻²³, N = 85.277 EDOs). A pesar de la significación estadística —esperable con n tan grande y que debe interpretarse con cautela (Wasserstein &amp; Lazar, 2016)—, el tamaño del efecto es prácticamente nulo: el ARI y el ODI3 medirían dimensiones fisiológicas distintas. Esta ortogonalidad fue confirmada por el AUC de discriminación: al intentar predecir la severidad del morfotipo (C4+C5 vs C1+C2) únicamente con el ARI, el AUC resultó de 0,453 —por debajo del azar—, lo cual se explica porque los eventos más severos presentaron los ARI más bajos, invirtiendo la curva ROC. El ARI no discrimina severidad directamente; captura la eficiencia de la respuesta autonómica ante el estímulo hipóxico.</w:t>
      </w:r>
    </w:p>
    <w:p>
      <w:pPr>
        <w:pStyle w:val="Heading3"/>
        <w:spacing w:after="100" w:before="220"/>
      </w:pPr>
      <w:r>
        <w:rPr>
          <w:rFonts w:ascii="Arial" w:cs="Arial" w:eastAsia="Arial" w:hAnsi="Arial"/>
          <w:b/>
          <w:bCs/>
          <w:color w:val="2C4E72"/>
          <w:sz w:val="24"/>
          <w:szCs w:val="24"/>
        </w:rPr>
        <w:t xml:space="preserve">4.3.3  Perfil autonómico por morfotipo y el paradox del C5</w:t>
      </w:r>
    </w:p>
    <w:p>
      <w:pPr>
        <w:spacing w:after="160" w:line="276" w:lineRule="auto"/>
        <w:jc w:val="both"/>
      </w:pPr>
      <w:r>
        <w:rPr>
          <w:rFonts w:ascii="Arial" w:cs="Arial" w:eastAsia="Arial" w:hAnsi="Arial"/>
          <w:sz w:val="22"/>
          <w:szCs w:val="22"/>
        </w:rPr>
        <w:t xml:space="preserve">La Tabla 4.6 resume los valores del ARI y la ganancia de FC por morfotipo. El hallazgo más llamativo fue el </w:t>
      </w:r>
      <w:r>
        <w:rPr>
          <w:rFonts w:ascii="Arial" w:cs="Arial" w:eastAsia="Arial" w:hAnsi="Arial"/>
          <w:i/>
          <w:iCs/>
          <w:sz w:val="22"/>
          <w:szCs w:val="22"/>
        </w:rPr>
        <w:t xml:space="preserve">gradiente autonómico inverso</w:t>
      </w:r>
      <w:r>
        <w:rPr>
          <w:rFonts w:ascii="Arial" w:cs="Arial" w:eastAsia="Arial" w:hAnsi="Arial"/>
          <w:sz w:val="22"/>
          <w:szCs w:val="22"/>
        </w:rPr>
        <w:t xml:space="preserve">: lejos de ser la hipoxia más severa la que generaba la mayor respuesta cardíaca, los eventos C5 —el morfotipo más profundo y prolongado— exhibieron el ARI más bajo (0,423 ± 0,104) y la ganancia de FC más baja de toda la distribución (mediana: 0,040 lpm/pp). Este patrón podría interpretarse como evidencia de agotamiento autonómico en presencia de hipoxia crónica severa, análogo a la desensibilización del quimiorreflejo descrita en SAOS de larga evolución (Narkiewicz &amp; Somers, 2003; Prabhakar, 2016). El morfotipo C2, paradójicamente, mostró la ganancia cardíaca relativa más alta junto a C1, sugiriendo que los eventos leve-moderados podrían evocar respuestas autonómicas más vigorosas que los severos —al menos en esta cohorte.</w:t>
      </w:r>
    </w:p>
    <w:p>
      <w:pPr>
        <w:spacing w:after="160" w:line="276" w:lineRule="auto"/>
        <w:jc w:val="both"/>
      </w:pPr>
      <w:r>
        <w:rPr>
          <w:rFonts w:ascii="Arial" w:cs="Arial" w:eastAsia="Arial" w:hAnsi="Arial"/>
          <w:sz w:val="22"/>
          <w:szCs w:val="22"/>
        </w:rPr>
        <w:t xml:space="preserve">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pPr>
        <w:spacing w:after="80"/>
      </w:pPr>
      <w:r>
        <w:t xml:space="preserve"/>
      </w:r>
    </w:p>
    <w:p>
      <w:pPr>
        <w:spacing w:after="80" w:before="80"/>
        <w:jc w:val="center"/>
      </w:pPr>
      <w:r>
        <w:rPr>
          <w:rFonts w:ascii="Arial" w:cs="Arial" w:eastAsia="Arial" w:hAnsi="Arial"/>
          <w:b/>
          <w:bCs/>
          <w:sz w:val="18"/>
          <w:szCs w:val="18"/>
        </w:rPr>
        <w:t xml:space="preserve">Tabla 4.6. Perfil autonómico por morfotipo de curva SpO₂ (ARI y HR gain mediana, corpus completo).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700"/>
        <w:gridCol w:w="1700"/>
        <w:gridCol w:w="3172"/>
      </w:tblGrid>
      <w:tr>
        <w:trPr>
          <w:tblHeader/>
        </w:trPr>
        <w:tc>
          <w:tcPr>
            <w:tcW w:type="dxa" w:w="9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Prevalencia</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 (μ ± σ)</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HR gain mediana (lpm/pp)</w:t>
            </w:r>
          </w:p>
        </w:tc>
        <w:tc>
          <w:tcPr>
            <w:tcW w:type="dxa" w:w="3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autonómico</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0,491 ± 0,205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0,633</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conservada — patrón fisiológico normal</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0,526 ± 0,186</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0,528</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ligeramente reducida — eventos de mayor duración</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0,511 ± 0,145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0,209</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atenuada relativa al estímulo — eventos severos agudos breves</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0,490 ± 0,143</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0,307</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proporcionalmente baja pese a caída severa</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0,423 ± 0,104</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0,040</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Silencio autonómico — posible agotamiento por hipoxia crónica severa</w:t>
            </w:r>
          </w:p>
        </w:tc>
      </w:tr>
    </w:tbl>
    <w:p>
      <w:pPr>
        <w:spacing w:after="200" w:before="60"/>
        <w:jc w:val="center"/>
      </w:pPr>
      <w:r>
        <w:rPr>
          <w:rFonts w:ascii="Arial" w:cs="Arial" w:eastAsia="Arial" w:hAnsi="Arial"/>
          <w:i/>
          <w:iCs/>
          <w:color w:val="444444"/>
          <w:sz w:val="18"/>
          <w:szCs w:val="18"/>
        </w:rPr>
        <w:t xml:space="preserve">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pPr>
        <w:spacing w:after="80"/>
      </w:pPr>
      <w:r>
        <w:t xml:space="preserve"/>
      </w:r>
    </w:p>
    <w:p>
      <w:pPr>
        <w:pStyle w:val="Heading3"/>
        <w:spacing w:after="100" w:before="220"/>
      </w:pPr>
      <w:r>
        <w:rPr>
          <w:rFonts w:ascii="Arial" w:cs="Arial" w:eastAsia="Arial" w:hAnsi="Arial"/>
          <w:b/>
          <w:bCs/>
          <w:color w:val="2C4E72"/>
          <w:sz w:val="24"/>
          <w:szCs w:val="24"/>
        </w:rPr>
        <w:t xml:space="preserve">4.3.4  Estabilidad inter-noche del ARI</w:t>
      </w:r>
    </w:p>
    <w:p>
      <w:pPr>
        <w:spacing w:after="160" w:line="276" w:lineRule="auto"/>
        <w:jc w:val="both"/>
      </w:pPr>
      <w:r>
        <w:rPr>
          <w:rFonts w:ascii="Arial" w:cs="Arial" w:eastAsia="Arial" w:hAnsi="Arial"/>
          <w:sz w:val="22"/>
          <w:szCs w:val="22"/>
        </w:rPr>
        <w:t xml:space="preserve">El ICC(1,1) del ARI nocturno medio resultó de 0,69 en la cohorte completa y de 0,74 en la cohorte estricta (Tabla 4.7, §4.5). Estos valores se ubican en el rango moderado según Koo &amp; Mae (2016), lo que sugiere que el ARI podría ser un rasgo moderadamente estable del paciente, más allá de la variabilidad noche-a-noche. La relativa estabilidad del ARI —mayor que la del </w:t>
      </w:r>
      <w:r>
        <w:rPr>
          <w:rFonts w:ascii="Arial" w:cs="Arial" w:eastAsia="Arial" w:hAnsi="Arial"/>
          <w:i/>
          <w:iCs/>
          <w:sz w:val="22"/>
          <w:szCs w:val="22"/>
        </w:rPr>
        <w:t xml:space="preserve">Hypoxic Burden</w:t>
      </w:r>
      <w:r>
        <w:rPr>
          <w:rFonts w:ascii="Arial" w:cs="Arial" w:eastAsia="Arial" w:hAnsi="Arial"/>
          <w:sz w:val="22"/>
          <w:szCs w:val="22"/>
        </w:rPr>
        <w:t xml:space="preserve"> (ICC = 0,41 en cohorte completa) y comparable a la del ODI3 (ICC = 0,71)— lo posicionaría como una métrica suficientemente reproducible para análisis longitudinales.</w:t>
      </w:r>
    </w:p>
    <w:p>
      <w:pPr>
        <w:spacing w:after="80"/>
      </w:pPr>
      <w:r>
        <w:t xml:space="preserve"/>
      </w:r>
    </w:p>
    <w:p>
      <w:pPr>
        <w:pStyle w:val="Heading2"/>
        <w:spacing w:after="160" w:before="300"/>
      </w:pPr>
      <w:r>
        <w:rPr>
          <w:rFonts w:ascii="Arial" w:cs="Arial" w:eastAsia="Arial" w:hAnsi="Arial"/>
          <w:b/>
          <w:bCs/>
          <w:color w:val="1E3A5F"/>
          <w:sz w:val="28"/>
          <w:szCs w:val="28"/>
        </w:rPr>
        <w:t xml:space="preserve">4.4  Construcción de la matriz de features nocturnas (NB03)</w:t>
      </w:r>
    </w:p>
    <w:p>
      <w:pPr>
        <w:spacing w:after="160" w:line="276" w:lineRule="auto"/>
        <w:jc w:val="both"/>
      </w:pPr>
      <w:r>
        <w:rPr>
          <w:rFonts w:ascii="Arial" w:cs="Arial" w:eastAsia="Arial" w:hAnsi="Arial"/>
          <w:sz w:val="22"/>
          <w:szCs w:val="22"/>
        </w:rPr>
        <w:t xml:space="preserve">NB03 integró los resultados de NB01 y NB02 con los 146 índices ya contenidos en </w:t>
      </w:r>
      <w:r>
        <w:rPr>
          <w:rFonts w:ascii="Arial" w:cs="Arial" w:eastAsia="Arial" w:hAnsi="Arial"/>
          <w:i/>
          <w:iCs/>
          <w:sz w:val="22"/>
          <w:szCs w:val="22"/>
        </w:rPr>
        <w:t xml:space="preserve">gold/nights.parquet</w:t>
      </w:r>
      <w:r>
        <w:rPr>
          <w:rFonts w:ascii="Arial" w:cs="Arial" w:eastAsia="Arial" w:hAnsi="Arial"/>
          <w:sz w:val="22"/>
          <w:szCs w:val="22"/>
        </w:rPr>
        <w:t xml:space="preserve"> para construir una matriz de 50 </w:t>
      </w:r>
      <w:r>
        <w:rPr>
          <w:rFonts w:ascii="Arial" w:cs="Arial" w:eastAsia="Arial" w:hAnsi="Arial"/>
          <w:i/>
          <w:iCs/>
          <w:sz w:val="22"/>
          <w:szCs w:val="22"/>
        </w:rPr>
        <w:t xml:space="preserve">features</w:t>
      </w:r>
      <w:r>
        <w:rPr>
          <w:rFonts w:ascii="Arial" w:cs="Arial" w:eastAsia="Arial" w:hAnsi="Arial"/>
          <w:sz w:val="22"/>
          <w:szCs w:val="22"/>
        </w:rPr>
        <w:t xml:space="preserve"> nocturnas que actuó como base analítica de los modelos de los capítulos siguientes. De las 560 noches del corpus completo, 553 contaban con al menos un evento </w:t>
      </w:r>
      <w:r>
        <w:rPr>
          <w:rFonts w:ascii="Arial" w:cs="Arial" w:eastAsia="Arial" w:hAnsi="Arial"/>
          <w:i/>
          <w:iCs/>
          <w:sz w:val="22"/>
          <w:szCs w:val="22"/>
        </w:rPr>
        <w:t xml:space="preserve">in_quality</w:t>
      </w:r>
      <w:r>
        <w:rPr>
          <w:rFonts w:ascii="Arial" w:cs="Arial" w:eastAsia="Arial" w:hAnsi="Arial"/>
          <w:sz w:val="22"/>
          <w:szCs w:val="22"/>
        </w:rPr>
        <w:t xml:space="preserve">; las 7 restantes —sin eventos válidos— fueron excluidas de los análisis de </w:t>
      </w:r>
      <w:r>
        <w:rPr>
          <w:rFonts w:ascii="Arial" w:cs="Arial" w:eastAsia="Arial" w:hAnsi="Arial"/>
          <w:i/>
          <w:iCs/>
          <w:sz w:val="22"/>
          <w:szCs w:val="22"/>
        </w:rPr>
        <w:t xml:space="preserve">features</w:t>
      </w:r>
      <w:r>
        <w:rPr>
          <w:rFonts w:ascii="Arial" w:cs="Arial" w:eastAsia="Arial" w:hAnsi="Arial"/>
          <w:sz w:val="22"/>
          <w:szCs w:val="22"/>
        </w:rPr>
        <w:t xml:space="preserve"> derivadas.</w:t>
      </w:r>
    </w:p>
    <w:p>
      <w:pPr>
        <w:pStyle w:val="Heading3"/>
        <w:spacing w:after="100" w:before="220"/>
      </w:pPr>
      <w:r>
        <w:rPr>
          <w:rFonts w:ascii="Arial" w:cs="Arial" w:eastAsia="Arial" w:hAnsi="Arial"/>
          <w:b/>
          <w:bCs/>
          <w:color w:val="2C4E72"/>
          <w:sz w:val="24"/>
          <w:szCs w:val="24"/>
        </w:rPr>
        <w:t xml:space="preserve">4.4.1  Correlaciones con severidad clínica (ODI3)</w:t>
      </w:r>
    </w:p>
    <w:p>
      <w:pPr>
        <w:spacing w:after="160" w:line="276" w:lineRule="auto"/>
        <w:jc w:val="both"/>
      </w:pPr>
      <w:r>
        <w:rPr>
          <w:rFonts w:ascii="Arial" w:cs="Arial" w:eastAsia="Arial" w:hAnsi="Arial"/>
          <w:sz w:val="22"/>
          <w:szCs w:val="22"/>
        </w:rPr>
        <w:t xml:space="preserve">Las correlaciones de Spearman entre las </w:t>
      </w:r>
      <w:r>
        <w:rPr>
          <w:rFonts w:ascii="Arial" w:cs="Arial" w:eastAsia="Arial" w:hAnsi="Arial"/>
          <w:i/>
          <w:iCs/>
          <w:sz w:val="22"/>
          <w:szCs w:val="22"/>
        </w:rPr>
        <w:t xml:space="preserve">features</w:t>
      </w:r>
      <w:r>
        <w:rPr>
          <w:rFonts w:ascii="Arial" w:cs="Arial" w:eastAsia="Arial" w:hAnsi="Arial"/>
          <w:sz w:val="22"/>
          <w:szCs w:val="22"/>
        </w:rPr>
        <w:t xml:space="preserve"> derivadas y el ODI3 nocturno revelaron que los morfotipos de curva contienen información clínicamente relevante. La fracción de eventos C1 (</w:t>
      </w:r>
      <w:r>
        <w:rPr>
          <w:rFonts w:ascii="Arial" w:cs="Arial" w:eastAsia="Arial" w:hAnsi="Arial"/>
          <w:i/>
          <w:iCs/>
          <w:sz w:val="22"/>
          <w:szCs w:val="22"/>
        </w:rPr>
        <w:t xml:space="preserve">frac_c1</w:t>
      </w:r>
      <w:r>
        <w:rPr>
          <w:rFonts w:ascii="Arial" w:cs="Arial" w:eastAsia="Arial" w:hAnsi="Arial"/>
          <w:sz w:val="22"/>
          <w:szCs w:val="22"/>
        </w:rPr>
        <w:t xml:space="preserve">) mostró una correlación negativa de ρ = −0,621, configurándose como un potencial marcador protector: mayor proporción de eventos subcríticos se asoció a menor carga de desaturación nocturna. La fracción C2 (</w:t>
      </w:r>
      <w:r>
        <w:rPr>
          <w:rFonts w:ascii="Arial" w:cs="Arial" w:eastAsia="Arial" w:hAnsi="Arial"/>
          <w:i/>
          <w:iCs/>
          <w:sz w:val="22"/>
          <w:szCs w:val="22"/>
        </w:rPr>
        <w:t xml:space="preserve">frac_c2</w:t>
      </w:r>
      <w:r>
        <w:rPr>
          <w:rFonts w:ascii="Arial" w:cs="Arial" w:eastAsia="Arial" w:hAnsi="Arial"/>
          <w:sz w:val="22"/>
          <w:szCs w:val="22"/>
        </w:rPr>
        <w:t xml:space="preserve">) exhibió una correlación positiva simétrica (ρ = +0,625), lo cual refleja que en las noches más severas una mayor fracción de eventos alcanza el umbral leve-moderado. Llamativamente, la fracción C3 resultó prácticamente ortogonal al ODI3 (ρ = −0,016), lo que sugiere que los eventos severos agudos y breves (C3) serían independientes de la carga hipóxica nocturna global. Como era esperable por su definición, el ARI nocturno medio presentó correlación próxima a cero con el ODI3, confirmando la ortogonalidad ya demostrada a nivel de evento.</w:t>
      </w:r>
    </w:p>
    <w:p>
      <w:pPr>
        <w:pStyle w:val="Heading3"/>
        <w:spacing w:after="100" w:before="220"/>
      </w:pPr>
      <w:r>
        <w:rPr>
          <w:rFonts w:ascii="Arial" w:cs="Arial" w:eastAsia="Arial" w:hAnsi="Arial"/>
          <w:b/>
          <w:bCs/>
          <w:color w:val="2C4E72"/>
          <w:sz w:val="24"/>
          <w:szCs w:val="24"/>
        </w:rPr>
        <w:t xml:space="preserve">4.4.2  Redundancia y selección de variables</w:t>
      </w:r>
    </w:p>
    <w:p>
      <w:pPr>
        <w:spacing w:after="160" w:line="276" w:lineRule="auto"/>
        <w:jc w:val="both"/>
      </w:pPr>
      <w:r>
        <w:rPr>
          <w:rFonts w:ascii="Arial" w:cs="Arial" w:eastAsia="Arial" w:hAnsi="Arial"/>
          <w:sz w:val="22"/>
          <w:szCs w:val="22"/>
        </w:rPr>
        <w:t xml:space="preserve">El análisis de pares de variables con |ρ| &gt; 0,85 identificó siete pares redundantes clave. Entre las más relevantes para la selección de </w:t>
      </w:r>
      <w:r>
        <w:rPr>
          <w:rFonts w:ascii="Arial" w:cs="Arial" w:eastAsia="Arial" w:hAnsi="Arial"/>
          <w:i/>
          <w:iCs/>
          <w:sz w:val="22"/>
          <w:szCs w:val="22"/>
        </w:rPr>
        <w:t xml:space="preserve">features</w:t>
      </w:r>
      <w:r>
        <w:rPr>
          <w:rFonts w:ascii="Arial" w:cs="Arial" w:eastAsia="Arial" w:hAnsi="Arial"/>
          <w:sz w:val="22"/>
          <w:szCs w:val="22"/>
        </w:rPr>
        <w:t xml:space="preserve"> en los modelos predictivos: T90 y HB90 (ρ = 0,885), donde se priorizó el </w:t>
      </w:r>
      <w:r>
        <w:rPr>
          <w:rFonts w:ascii="Arial" w:cs="Arial" w:eastAsia="Arial" w:hAnsi="Arial"/>
          <w:i/>
          <w:iCs/>
          <w:sz w:val="22"/>
          <w:szCs w:val="22"/>
        </w:rPr>
        <w:t xml:space="preserve">Hypoxic Burden</w:t>
      </w:r>
      <w:r>
        <w:rPr>
          <w:rFonts w:ascii="Arial" w:cs="Arial" w:eastAsia="Arial" w:hAnsi="Arial"/>
          <w:sz w:val="22"/>
          <w:szCs w:val="22"/>
        </w:rPr>
        <w:t xml:space="preserve"> por su mayor contenido informacional sobre la morfología temporal (Azarbarzin et al., 2019); </w:t>
      </w:r>
      <w:r>
        <w:rPr>
          <w:rFonts w:ascii="Arial" w:cs="Arial" w:eastAsia="Arial" w:hAnsi="Arial"/>
          <w:i/>
          <w:iCs/>
          <w:sz w:val="22"/>
          <w:szCs w:val="22"/>
        </w:rPr>
        <w:t xml:space="preserve">frac_c4</w:t>
      </w:r>
      <w:r>
        <w:rPr>
          <w:rFonts w:ascii="Arial" w:cs="Arial" w:eastAsia="Arial" w:hAnsi="Arial"/>
          <w:sz w:val="22"/>
          <w:szCs w:val="22"/>
        </w:rPr>
        <w:t xml:space="preserve"> y </w:t>
      </w:r>
      <w:r>
        <w:rPr>
          <w:rFonts w:ascii="Arial" w:cs="Arial" w:eastAsia="Arial" w:hAnsi="Arial"/>
          <w:i/>
          <w:iCs/>
          <w:sz w:val="22"/>
          <w:szCs w:val="22"/>
        </w:rPr>
        <w:t xml:space="preserve">frac_severe_morpho</w:t>
      </w:r>
      <w:r>
        <w:rPr>
          <w:rFonts w:ascii="Arial" w:cs="Arial" w:eastAsia="Arial" w:hAnsi="Arial"/>
          <w:sz w:val="22"/>
          <w:szCs w:val="22"/>
        </w:rPr>
        <w:t xml:space="preserve"> (ρ = 0,953), donde se consolidó la fracción de morfotipos severos como variable unificada; y ARI y HR gain (ρ = 0,879), donde se conservó el ARI por su interpretabilidad fisiológica como índice percentilizado de corpus. Este proceso de depuración redujo la redundancia sin pérdida de cobertura dimensional, preparando la matriz para los análisis de los capítulos siguientes.</w:t>
      </w:r>
    </w:p>
    <w:p>
      <w:pPr>
        <w:pStyle w:val="Heading3"/>
        <w:spacing w:after="100" w:before="220"/>
      </w:pPr>
      <w:r>
        <w:rPr>
          <w:rFonts w:ascii="Arial" w:cs="Arial" w:eastAsia="Arial" w:hAnsi="Arial"/>
          <w:b/>
          <w:bCs/>
          <w:color w:val="2C4E72"/>
          <w:sz w:val="24"/>
          <w:szCs w:val="24"/>
        </w:rPr>
        <w:t xml:space="preserve">4.4.3  Separación entre estratos de severidad</w:t>
      </w:r>
    </w:p>
    <w:p>
      <w:pPr>
        <w:spacing w:after="160" w:line="276" w:lineRule="auto"/>
        <w:jc w:val="both"/>
      </w:pPr>
      <w:r>
        <w:rPr>
          <w:rFonts w:ascii="Arial" w:cs="Arial" w:eastAsia="Arial" w:hAnsi="Arial"/>
          <w:sz w:val="22"/>
          <w:szCs w:val="22"/>
        </w:rPr>
        <w:t xml:space="preserve">La validez discriminativa de las </w:t>
      </w:r>
      <w:r>
        <w:rPr>
          <w:rFonts w:ascii="Arial" w:cs="Arial" w:eastAsia="Arial" w:hAnsi="Arial"/>
          <w:i/>
          <w:iCs/>
          <w:sz w:val="22"/>
          <w:szCs w:val="22"/>
        </w:rPr>
        <w:t xml:space="preserve">features</w:t>
      </w:r>
      <w:r>
        <w:rPr>
          <w:rFonts w:ascii="Arial" w:cs="Arial" w:eastAsia="Arial" w:hAnsi="Arial"/>
          <w:sz w:val="22"/>
          <w:szCs w:val="22"/>
        </w:rPr>
        <w:t xml:space="preserve"> derivadas se evaluó comparando las medianas por estrato clínico. La fracción C1 mostró un gradiente decreciente monotónico (Leve: 0,88 → Severo: 0,50), mientras que </w:t>
      </w:r>
      <w:r>
        <w:rPr>
          <w:rFonts w:ascii="Arial" w:cs="Arial" w:eastAsia="Arial" w:hAnsi="Arial"/>
          <w:i/>
          <w:iCs/>
          <w:sz w:val="22"/>
          <w:szCs w:val="22"/>
        </w:rPr>
        <w:t xml:space="preserve">frac_severe_morpho</w:t>
      </w:r>
      <w:r>
        <w:rPr>
          <w:rFonts w:ascii="Arial" w:cs="Arial" w:eastAsia="Arial" w:hAnsi="Arial"/>
          <w:sz w:val="22"/>
          <w:szCs w:val="22"/>
        </w:rPr>
        <w:t xml:space="preserve"> aumentó de forma consistente (0,03 → 0,14). Las métricas convencionales (ODI3, T90) mantuvieron gradientes igualmente monotónicos y sirvieron como referencia de comparación. El ARI nocturno medio no mostró gradiente entre estratos (~0,50 en todos), reafirmando su naturaleza ortogonal a la severidad hipóxica global. Estos resultados sugieren que las </w:t>
      </w:r>
      <w:r>
        <w:rPr>
          <w:rFonts w:ascii="Arial" w:cs="Arial" w:eastAsia="Arial" w:hAnsi="Arial"/>
          <w:i/>
          <w:iCs/>
          <w:sz w:val="22"/>
          <w:szCs w:val="22"/>
        </w:rPr>
        <w:t xml:space="preserve">features</w:t>
      </w:r>
      <w:r>
        <w:rPr>
          <w:rFonts w:ascii="Arial" w:cs="Arial" w:eastAsia="Arial" w:hAnsi="Arial"/>
          <w:sz w:val="22"/>
          <w:szCs w:val="22"/>
        </w:rPr>
        <w:t xml:space="preserve"> morfológicas derivadas del </w:t>
      </w:r>
      <w:r>
        <w:rPr>
          <w:rFonts w:ascii="Arial" w:cs="Arial" w:eastAsia="Arial" w:hAnsi="Arial"/>
          <w:i/>
          <w:iCs/>
          <w:sz w:val="22"/>
          <w:szCs w:val="22"/>
        </w:rPr>
        <w:t xml:space="preserve">clustering</w:t>
      </w:r>
      <w:r>
        <w:rPr>
          <w:rFonts w:ascii="Arial" w:cs="Arial" w:eastAsia="Arial" w:hAnsi="Arial"/>
          <w:sz w:val="22"/>
          <w:szCs w:val="22"/>
        </w:rPr>
        <w:t xml:space="preserve"> de curvas podrían complementar a los índices convencionales en la estratificación de pacientes.</w:t>
      </w:r>
    </w:p>
    <w:p>
      <w:pPr>
        <w:spacing w:after="80"/>
      </w:pPr>
      <w:r>
        <w:t xml:space="preserve"/>
      </w:r>
    </w:p>
    <w:p>
      <w:pPr>
        <w:pStyle w:val="Heading2"/>
        <w:spacing w:after="160" w:before="300"/>
      </w:pPr>
      <w:r>
        <w:rPr>
          <w:rFonts w:ascii="Arial" w:cs="Arial" w:eastAsia="Arial" w:hAnsi="Arial"/>
          <w:b/>
          <w:bCs/>
          <w:color w:val="1E3A5F"/>
          <w:sz w:val="28"/>
          <w:szCs w:val="28"/>
        </w:rPr>
        <w:t xml:space="preserve">4.5  Validación de reproducibilidad multi-noche</w:t>
      </w:r>
    </w:p>
    <w:p>
      <w:pPr>
        <w:spacing w:after="160" w:line="276" w:lineRule="auto"/>
        <w:jc w:val="both"/>
      </w:pPr>
      <w:r>
        <w:rPr>
          <w:rFonts w:ascii="Arial" w:cs="Arial" w:eastAsia="Arial" w:hAnsi="Arial"/>
          <w:sz w:val="22"/>
          <w:szCs w:val="22"/>
        </w:rPr>
        <w:t xml:space="preserve">Una limitación inherente al monitoreo ambulatorio es la variabilidad noche-a-noche: el ODI3 puede variar un 30–50 % entre noches consecutivas del mismo paciente (Bittencourt et al., 2001; Levendowski et al., 2009). Para cuantificar esta variabilidad y determinar cuántas noches serían suficientes para una estimación estable, se construyeron curvas de estabilización mediante </w:t>
      </w:r>
      <w:r>
        <w:rPr>
          <w:rFonts w:ascii="Arial" w:cs="Arial" w:eastAsia="Arial" w:hAnsi="Arial"/>
          <w:i/>
          <w:iCs/>
          <w:sz w:val="22"/>
          <w:szCs w:val="22"/>
        </w:rPr>
        <w:t xml:space="preserve">bootstrapping</w:t>
      </w:r>
      <w:r>
        <w:rPr>
          <w:rFonts w:ascii="Arial" w:cs="Arial" w:eastAsia="Arial" w:hAnsi="Arial"/>
          <w:sz w:val="22"/>
          <w:szCs w:val="22"/>
        </w:rPr>
        <w:t xml:space="preserve"> (300 iteraciones por paciente) con ventanas acumulativas de 1 a 14 noches.</w:t>
      </w:r>
    </w:p>
    <w:p>
      <w:pPr>
        <w:pStyle w:val="Heading3"/>
        <w:spacing w:after="100" w:before="220"/>
      </w:pPr>
      <w:r>
        <w:rPr>
          <w:rFonts w:ascii="Arial" w:cs="Arial" w:eastAsia="Arial" w:hAnsi="Arial"/>
          <w:b/>
          <w:bCs/>
          <w:color w:val="2C4E72"/>
          <w:sz w:val="24"/>
          <w:szCs w:val="24"/>
        </w:rPr>
        <w:t xml:space="preserve">4.5.1  Estabilización del ODI3 con el número de noches</w:t>
      </w:r>
    </w:p>
    <w:p>
      <w:pPr>
        <w:spacing w:after="160" w:line="276" w:lineRule="auto"/>
        <w:jc w:val="both"/>
      </w:pPr>
      <w:r>
        <w:rPr>
          <w:rFonts w:ascii="Arial" w:cs="Arial" w:eastAsia="Arial" w:hAnsi="Arial"/>
          <w:sz w:val="22"/>
          <w:szCs w:val="22"/>
        </w:rPr>
        <w:t xml:space="preserve">La Tabla 4.8 resume la evolución del ICC(1,1) y del error absoluto medio (MAE) del ODI3 en función del número de noches promediadas. Con una sola noche —equivalente a la PSG o al estudio de sueño domiciliario convencional—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pPr>
        <w:spacing w:after="80"/>
      </w:pPr>
      <w:r>
        <w:t xml:space="preserve"/>
      </w:r>
    </w:p>
    <w:p>
      <w:pPr>
        <w:spacing w:after="80" w:before="80"/>
        <w:jc w:val="center"/>
      </w:pPr>
      <w:r>
        <w:rPr>
          <w:rFonts w:ascii="Arial" w:cs="Arial" w:eastAsia="Arial" w:hAnsi="Arial"/>
          <w:b/>
          <w:bCs/>
          <w:sz w:val="18"/>
          <w:szCs w:val="18"/>
        </w:rPr>
        <w:t xml:space="preserve">Tabla 4.7. ICC(1,1) por métrica en cohortes full y strict.</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200"/>
        <w:gridCol w:w="25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full, 12 p.)</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strict, 8 p.)</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ICC</w:t>
            </w:r>
          </w:p>
        </w:tc>
        <w:tc>
          <w:tcPr>
            <w:tcW w:type="dxa" w:w="25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ODI3 (ev/h)</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en ambas cohortes</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Hypoxic Burden HB₃ (%·s/h)</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0,66</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pobre → moderado</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T90 (fracción)</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+0,16</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 próximo a bueno</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ARI (0 – 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0,74</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 rasgo del paciente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Eficiencia de sueño</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0,37</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 en ambas — limitación del dispositivo</w:t>
            </w:r>
          </w:p>
        </w:tc>
      </w:tr>
    </w:tbl>
    <w:p>
      <w:pPr>
        <w:spacing w:after="200" w:before="60"/>
        <w:jc w:val="center"/>
      </w:pPr>
      <w:r>
        <w:rPr>
          <w:rFonts w:ascii="Arial" w:cs="Arial" w:eastAsia="Arial" w:hAnsi="Arial"/>
          <w:i/>
          <w:iCs/>
          <w:color w:val="444444"/>
          <w:sz w:val="18"/>
          <w:szCs w:val="18"/>
        </w:rPr>
        <w:t xml:space="preserve">Nota. Interpretación del ICC (Koo &amp; Mae, 2016): &lt; 0,50 = pobre; 0,50–0,75 = moderado; 0,75–0,90 = bueno; &gt; 0,90 = excelente. HB₃: Hypoxic Burden con umbral de 3 pp. La cohorte full incluye 12 pacientes (560 noches); la cohorte strict incluye 8 pacientes con ≥ 10 noches in_quality (490 noches).</w:t>
      </w:r>
    </w:p>
    <w:p>
      <w:pPr>
        <w:spacing w:after="80"/>
      </w:pPr>
      <w:r>
        <w:t xml:space="preserve"/>
      </w:r>
    </w:p>
    <w:p>
      <w:pPr>
        <w:spacing w:after="80"/>
      </w:pPr>
      <w:r>
        <w:t xml:space="preserve"/>
      </w:r>
    </w:p>
    <w:p>
      <w:pPr>
        <w:spacing w:after="80" w:before="80"/>
        <w:jc w:val="center"/>
      </w:pPr>
      <w:r>
        <w:rPr>
          <w:rFonts w:ascii="Arial" w:cs="Arial" w:eastAsia="Arial" w:hAnsi="Arial"/>
          <w:b/>
          <w:bCs/>
          <w:sz w:val="18"/>
          <w:szCs w:val="18"/>
        </w:rPr>
        <w:t xml:space="preserve">Tabla 4.8. Estabilización del ODI3 con el número de noches promediadas (cohorte estricta, 8 pacientes).</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972"/>
      </w:tblGrid>
      <w:tr>
        <w:trPr>
          <w:tblHeader/>
        </w:trPr>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 promediadas</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 ODI3</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MAE ODI3 (ev/h)</w:t>
            </w:r>
          </w:p>
        </w:tc>
        <w:tc>
          <w:tcPr>
            <w:tcW w:type="dxa" w:w="2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 noche</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0,70</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5,3</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Línea de base — diagnóstico clínico convencional</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0,86</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3,1</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con agregación mínima</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 noches</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0,94</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Zona de estabilización para la mayoría de los pacientes</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14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0,99</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Estimación de referencia — equivalente a PSG repetida</w:t>
            </w:r>
          </w:p>
        </w:tc>
      </w:tr>
    </w:tbl>
    <w:p>
      <w:pPr>
        <w:spacing w:after="200" w:before="60"/>
        <w:jc w:val="center"/>
      </w:pPr>
      <w:r>
        <w:rPr>
          <w:rFonts w:ascii="Arial" w:cs="Arial" w:eastAsia="Arial" w:hAnsi="Arial"/>
          <w:i/>
          <w:iCs/>
          <w:color w:val="444444"/>
          <w:sz w:val="18"/>
          <w:szCs w:val="18"/>
        </w:rPr>
        <w:t xml:space="preserve">Nota. ICC(1,1) calculado sobre estimados paciente-nivel por bootstrapping (300 iteraciones). MAE: error absoluto medio en ev/h, promediado entre los 8 pacientes de la cohorte estricta. La línea de referencia de 14 noches se tomó como estimado equivalente a PSG repetida para el ODI3.</w:t>
      </w:r>
    </w:p>
    <w:p>
      <w:pPr>
        <w:spacing w:after="80"/>
      </w:pPr>
      <w:r>
        <w:t xml:space="preserve"/>
      </w:r>
    </w:p>
    <w:p>
      <w:pPr>
        <w:pStyle w:val="Heading3"/>
        <w:spacing w:after="100" w:before="220"/>
      </w:pPr>
      <w:r>
        <w:rPr>
          <w:rFonts w:ascii="Arial" w:cs="Arial" w:eastAsia="Arial" w:hAnsi="Arial"/>
          <w:b/>
          <w:bCs/>
          <w:color w:val="2C4E72"/>
          <w:sz w:val="24"/>
          <w:szCs w:val="24"/>
        </w:rPr>
        <w:t xml:space="preserve">4.5.2  Reproducibilidad del ARI</w:t>
      </w:r>
    </w:p>
    <w:p>
      <w:pPr>
        <w:spacing w:after="160" w:line="276" w:lineRule="auto"/>
        <w:jc w:val="both"/>
      </w:pPr>
      <w:r>
        <w:rPr>
          <w:rFonts w:ascii="Arial" w:cs="Arial" w:eastAsia="Arial" w:hAnsi="Arial"/>
          <w:sz w:val="22"/>
          <w:szCs w:val="22"/>
        </w:rPr>
        <w:t xml:space="preserve">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que podría capturarse con pocas noches de monitoreo.</w:t>
      </w:r>
    </w:p>
    <w:p>
      <w:pPr>
        <w:spacing w:after="160" w:line="276" w:lineRule="auto"/>
        <w:jc w:val="both"/>
      </w:pPr>
      <w:r>
        <w:rPr>
          <w:rFonts w:ascii="Arial" w:cs="Arial" w:eastAsia="Arial" w:hAnsi="Arial"/>
          <w:sz w:val="22"/>
          <w:szCs w:val="22"/>
        </w:rPr>
        <w:t xml:space="preserve">La Tabla 4.7 también permite observar que la mejora de ICC entre cohorte completa y estricta fue más pronunciada en el </w:t>
      </w:r>
      <w:r>
        <w:rPr>
          <w:rFonts w:ascii="Arial" w:cs="Arial" w:eastAsia="Arial" w:hAnsi="Arial"/>
          <w:i/>
          <w:iCs/>
          <w:sz w:val="22"/>
          <w:szCs w:val="22"/>
        </w:rPr>
        <w:t xml:space="preserve">Hypoxic Burden</w:t>
      </w:r>
      <w:r>
        <w:rPr>
          <w:rFonts w:ascii="Arial" w:cs="Arial" w:eastAsia="Arial" w:hAnsi="Arial"/>
          <w:sz w:val="22"/>
          <w:szCs w:val="22"/>
        </w:rPr>
        <w:t xml:space="preserve"> (Δ ICC = +0,25) que en el ODI3 (Δ ICC = +0,02), lo que sugiere que el HB₃ es más sensible a la irregularidad de los pacientes con pocas noches. Para el ARI, la mejora fue modesta (Δ ICC = +0,05), consistente con su mayor estabilidad intrínseca.</w:t>
      </w:r>
    </w:p>
    <w:p>
      <w:pPr>
        <w:spacing w:after="80"/>
      </w:pPr>
      <w:r>
        <w:t xml:space="preserve"/>
      </w:r>
    </w:p>
    <w:p>
      <w:pPr>
        <w:pStyle w:val="Heading2"/>
        <w:spacing w:after="160" w:before="300"/>
      </w:pPr>
      <w:r>
        <w:rPr>
          <w:rFonts w:ascii="Arial" w:cs="Arial" w:eastAsia="Arial" w:hAnsi="Arial"/>
          <w:b/>
          <w:bCs/>
          <w:color w:val="1E3A5F"/>
          <w:sz w:val="28"/>
          <w:szCs w:val="28"/>
        </w:rPr>
        <w:t xml:space="preserve">4.6  Síntesis y proyección hacia el nivel noche</w:t>
      </w:r>
    </w:p>
    <w:p>
      <w:pPr>
        <w:spacing w:after="160" w:line="276" w:lineRule="auto"/>
        <w:jc w:val="both"/>
      </w:pPr>
      <w:r>
        <w:rPr>
          <w:rFonts w:ascii="Arial" w:cs="Arial" w:eastAsia="Arial" w:hAnsi="Arial"/>
          <w:sz w:val="22"/>
          <w:szCs w:val="22"/>
        </w:rPr>
        <w:t xml:space="preserve">Los resultados de este capítulo permitirían sostener que los EDOs constituyen una clase heterogénea de eventos con morfología, carga hipóxica y respuesta autonómica diferenciadas. El </w:t>
      </w:r>
      <w:r>
        <w:rPr>
          <w:rFonts w:ascii="Arial" w:cs="Arial" w:eastAsia="Arial" w:hAnsi="Arial"/>
          <w:i/>
          <w:iCs/>
          <w:sz w:val="22"/>
          <w:szCs w:val="22"/>
        </w:rPr>
        <w:t xml:space="preserve">clustering</w:t>
      </w:r>
      <w:r>
        <w:rPr>
          <w:rFonts w:ascii="Arial" w:cs="Arial" w:eastAsia="Arial" w:hAnsi="Arial"/>
          <w:sz w:val="22"/>
          <w:szCs w:val="22"/>
        </w:rPr>
        <w:t xml:space="preserve"> no supervisado sobre curvas normalizadas de SpO₂ identificó cinco morfotipos reproducibles (C1–C5) que preservan dimensiones fisiológicas —profundidad, duración, velocidad de recuperación, carga hipóxica— que los índices escalares convencionales homogeneizan. Los morfotipos severos C4 y C5, aunque minoritarios en prevalencia (6,1 %), concentraron desproporcionadamente la carga hipóxica acumulada de la noche, cuestionando el paradigma de que la frecuencia de eventos es el único determinante del riesgo.</w:t>
      </w:r>
    </w:p>
    <w:p>
      <w:pPr>
        <w:spacing w:after="160" w:line="276" w:lineRule="auto"/>
        <w:jc w:val="both"/>
      </w:pPr>
      <w:r>
        <w:rPr>
          <w:rFonts w:ascii="Arial" w:cs="Arial" w:eastAsia="Arial" w:hAnsi="Arial"/>
          <w:sz w:val="22"/>
          <w:szCs w:val="22"/>
        </w:rPr>
        <w:t xml:space="preserve">El ARI introdujo una segunda dimensión de caracterización: la respuesta fisiológica autonómica ante el estímulo hipóxico. Su ortogonalidad con el ODI3 (ρ = 0,034) podría implicar que, en principio, conocer la carga hipóxica de una noche no permite predecir la reactividad autonómica del paciente, y viceversa. El gradiente autonómico inverso observado en C5 —el morfotipo más severo con el ARI más bajo— plantea la hipótesis de agotamiento simpático como mecanismo fisiopatológico en los casos más graves, una dirección que la bibliografía sobre SAOS crónico sugiere, aunque no confirma definitivamente en muestras pequeñas (Narkiewicz &amp; Somers, 2003).</w:t>
      </w:r>
    </w:p>
    <w:p>
      <w:pPr>
        <w:spacing w:after="160" w:line="276" w:lineRule="auto"/>
        <w:jc w:val="both"/>
      </w:pPr>
      <w:r>
        <w:rPr>
          <w:rFonts w:ascii="Arial" w:cs="Arial" w:eastAsia="Arial" w:hAnsi="Arial"/>
          <w:sz w:val="22"/>
          <w:szCs w:val="22"/>
        </w:rPr>
        <w:t xml:space="preserve">Finalmente, la validación multi-noche confirmó que la agregación temporal mejora sustancialmente la fiabilidad de ambas métricas —especialmente del ODI3 y del </w:t>
      </w:r>
      <w:r>
        <w:rPr>
          <w:rFonts w:ascii="Arial" w:cs="Arial" w:eastAsia="Arial" w:hAnsi="Arial"/>
          <w:i/>
          <w:iCs/>
          <w:sz w:val="22"/>
          <w:szCs w:val="22"/>
        </w:rPr>
        <w:t xml:space="preserve">Hypoxic Burden</w:t>
      </w:r>
      <w:r>
        <w:rPr>
          <w:rFonts w:ascii="Arial" w:cs="Arial" w:eastAsia="Arial" w:hAnsi="Arial"/>
          <w:sz w:val="22"/>
          <w:szCs w:val="22"/>
        </w:rPr>
        <w:t xml:space="preserve">—, y que el protocolo domiciliario del proyecto (con medianas de 55–116 noches por paciente en la cohorte estricta) proporciona una base longitudinal considerablemente más rica que el estudio de sueño convencional de una noche.</w:t>
      </w:r>
    </w:p>
    <w:p>
      <w:pPr>
        <w:spacing w:after="160" w:line="276" w:lineRule="auto"/>
        <w:jc w:val="both"/>
      </w:pPr>
      <w:r>
        <w:rPr>
          <w:rFonts w:ascii="Arial" w:cs="Arial" w:eastAsia="Arial" w:hAnsi="Arial"/>
          <w:sz w:val="22"/>
          <w:szCs w:val="22"/>
        </w:rPr>
        <w:t xml:space="preserve">Las </w:t>
      </w:r>
      <w:r>
        <w:rPr>
          <w:rFonts w:ascii="Arial" w:cs="Arial" w:eastAsia="Arial" w:hAnsi="Arial"/>
          <w:i/>
          <w:iCs/>
          <w:sz w:val="22"/>
          <w:szCs w:val="22"/>
        </w:rPr>
        <w:t xml:space="preserve">features</w:t>
      </w:r>
      <w:r>
        <w:rPr>
          <w:rFonts w:ascii="Arial" w:cs="Arial" w:eastAsia="Arial" w:hAnsi="Arial"/>
          <w:sz w:val="22"/>
          <w:szCs w:val="22"/>
        </w:rPr>
        <w:t xml:space="preserve"> derivadas de este nivel —fracciones de morfotipo nocturnas, ARI medio y percentil 90, IRD_v2— se incorporaron a la matriz nocturna de 50 variables que se analizará en el Capítulo 5, donde se examinará cómo el contexto temporal multiescala (PAC States) se organiza alrededor de los EDOs y en qué medida la estructura dinámica de la noche aporta información independiente y complementaria a la caracterización evento-nivel presentada aquí.</w:t>
      </w:r>
    </w:p>
    <w:p>
      <w:pPr>
        <w:spacing w:after="80"/>
      </w:pPr>
      <w:r>
        <w:t xml:space="preserve"/>
      </w:r>
    </w:p>
    <w:p>
      <w:r>
        <w:br w:type="page"/>
      </w:r>
    </w:p>
    <w:p>
      <w:pPr>
        <w:pStyle w:val="Heading2"/>
        <w:spacing w:after="160" w:before="300"/>
      </w:pPr>
      <w:r>
        <w:rPr>
          <w:rFonts w:ascii="Arial" w:cs="Arial" w:eastAsia="Arial" w:hAnsi="Arial"/>
          <w:b/>
          <w:bCs/>
          <w:color w:val="1E3A5F"/>
          <w:sz w:val="28"/>
          <w:szCs w:val="28"/>
        </w:rPr>
        <w:t xml:space="preserve">Referencias</w:t>
      </w:r>
    </w:p>
    <w:p>
      <w:pPr>
        <w:spacing w:after="160" w:line="276" w:lineRule="auto"/>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line="276" w:lineRule="auto"/>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the scoring of sleep and associated events.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line="276" w:lineRule="auto"/>
        <w:jc w:val="both"/>
      </w:pPr>
      <w:r>
        <w:rPr>
          <w:rFonts w:ascii="Arial" w:cs="Arial" w:eastAsia="Arial" w:hAnsi="Arial"/>
          <w:sz w:val="22"/>
          <w:szCs w:val="22"/>
        </w:rPr>
        <w:t xml:space="preserve">Bittencourt, L. R. A., Suchecki, D., Tufik, S., Peres, C., Togeiro, S. M., Bagnato, M. C., &amp; Nery, L. E. (2001). The variability of the apnoea–hypopnoea index. </w:t>
      </w:r>
      <w:r>
        <w:rPr>
          <w:rFonts w:ascii="Arial" w:cs="Arial" w:eastAsia="Arial" w:hAnsi="Arial"/>
          <w:i/>
          <w:iCs/>
          <w:sz w:val="22"/>
          <w:szCs w:val="22"/>
        </w:rPr>
        <w:t xml:space="preserve">Journal of Sleep Research</w:t>
      </w:r>
      <w:r>
        <w:rPr>
          <w:rFonts w:ascii="Arial" w:cs="Arial" w:eastAsia="Arial" w:hAnsi="Arial"/>
          <w:sz w:val="22"/>
          <w:szCs w:val="22"/>
        </w:rPr>
        <w:t xml:space="preserve">, 10(3), 245–251. https://doi.org/10.1046/j.1365-2869.2001.00255.x</w:t>
      </w:r>
    </w:p>
    <w:p>
      <w:pPr>
        <w:spacing w:after="160" w:line="276" w:lineRule="auto"/>
        <w:jc w:val="both"/>
      </w:pPr>
      <w:r>
        <w:rPr>
          <w:rFonts w:ascii="Arial" w:cs="Arial" w:eastAsia="Arial" w:hAnsi="Arial"/>
          <w:sz w:val="22"/>
          <w:szCs w:val="22"/>
        </w:rPr>
        <w:t xml:space="preserve">Koo, T. K., &amp; Mae, M. Y. (2016). A guideline of selecting and reporting intraclass correlation coefficients for reliability research. </w:t>
      </w:r>
      <w:r>
        <w:rPr>
          <w:rFonts w:ascii="Arial" w:cs="Arial" w:eastAsia="Arial" w:hAnsi="Arial"/>
          <w:i/>
          <w:iCs/>
          <w:sz w:val="22"/>
          <w:szCs w:val="22"/>
        </w:rPr>
        <w:t xml:space="preserve">Journal of Chiropractic Medicine</w:t>
      </w:r>
      <w:r>
        <w:rPr>
          <w:rFonts w:ascii="Arial" w:cs="Arial" w:eastAsia="Arial" w:hAnsi="Arial"/>
          <w:sz w:val="22"/>
          <w:szCs w:val="22"/>
        </w:rPr>
        <w:t xml:space="preserve">, 15(2), 155–163. https://doi.org/10.1016/j.jcm.2016.02.012</w:t>
      </w:r>
    </w:p>
    <w:p>
      <w:pPr>
        <w:spacing w:after="160" w:line="276" w:lineRule="auto"/>
        <w:jc w:val="both"/>
      </w:pPr>
      <w:r>
        <w:rPr>
          <w:rFonts w:ascii="Arial" w:cs="Arial" w:eastAsia="Arial" w:hAnsi="Arial"/>
          <w:sz w:val="22"/>
          <w:szCs w:val="22"/>
        </w:rPr>
        <w:t xml:space="preserve">Levendowski, D. J., Zack, N., Rao, S., Wong, K., Gendreau, M., Kranzler, J., ... &amp; Westbrook, P. R. (2009). Assessment of the test–retest reliability of laboratory polysomnography. </w:t>
      </w:r>
      <w:r>
        <w:rPr>
          <w:rFonts w:ascii="Arial" w:cs="Arial" w:eastAsia="Arial" w:hAnsi="Arial"/>
          <w:i/>
          <w:iCs/>
          <w:sz w:val="22"/>
          <w:szCs w:val="22"/>
        </w:rPr>
        <w:t xml:space="preserve">Sleep &amp; Breathing</w:t>
      </w:r>
      <w:r>
        <w:rPr>
          <w:rFonts w:ascii="Arial" w:cs="Arial" w:eastAsia="Arial" w:hAnsi="Arial"/>
          <w:sz w:val="22"/>
          <w:szCs w:val="22"/>
        </w:rPr>
        <w:t xml:space="preserve">, 13(2), 163–167. https://doi.org/10.1007/s11325-008-0214-6</w:t>
      </w:r>
    </w:p>
    <w:p>
      <w:pPr>
        <w:spacing w:after="160" w:line="276" w:lineRule="auto"/>
        <w:jc w:val="both"/>
      </w:pPr>
      <w:r>
        <w:rPr>
          <w:rFonts w:ascii="Arial" w:cs="Arial" w:eastAsia="Arial" w:hAnsi="Arial"/>
          <w:sz w:val="22"/>
          <w:szCs w:val="22"/>
        </w:rPr>
        <w:t xml:space="preserve">Narkiewicz, K., &amp; Somers, V. K. (2003). Sympathetic nerve activity in obstructive sleep apnoea. </w:t>
      </w:r>
      <w:r>
        <w:rPr>
          <w:rFonts w:ascii="Arial" w:cs="Arial" w:eastAsia="Arial" w:hAnsi="Arial"/>
          <w:i/>
          <w:iCs/>
          <w:sz w:val="22"/>
          <w:szCs w:val="22"/>
        </w:rPr>
        <w:t xml:space="preserve">Acta Physiologica Scandinavica</w:t>
      </w:r>
      <w:r>
        <w:rPr>
          <w:rFonts w:ascii="Arial" w:cs="Arial" w:eastAsia="Arial" w:hAnsi="Arial"/>
          <w:sz w:val="22"/>
          <w:szCs w:val="22"/>
        </w:rPr>
        <w:t xml:space="preserve">, 177(3), 385–390. https://doi.org/10.1046/j.1365-201X.2003.01091.x</w:t>
      </w:r>
    </w:p>
    <w:p>
      <w:pPr>
        <w:spacing w:after="160" w:line="276" w:lineRule="auto"/>
        <w:jc w:val="both"/>
      </w:pPr>
      <w:r>
        <w:rPr>
          <w:rFonts w:ascii="Arial" w:cs="Arial" w:eastAsia="Arial" w:hAnsi="Arial"/>
          <w:sz w:val="22"/>
          <w:szCs w:val="22"/>
        </w:rPr>
        <w:t xml:space="preserve">Oliven, A., Tov, N., Brandspiegel, S., Steinfeld, U., &amp; Schwartz, A. R. (2020). Clustering of apneas in obstructive sleep apnea: significance and clinical relevance. </w:t>
      </w:r>
      <w:r>
        <w:rPr>
          <w:rFonts w:ascii="Arial" w:cs="Arial" w:eastAsia="Arial" w:hAnsi="Arial"/>
          <w:i/>
          <w:iCs/>
          <w:sz w:val="22"/>
          <w:szCs w:val="22"/>
        </w:rPr>
        <w:t xml:space="preserve">Sleep</w:t>
      </w:r>
      <w:r>
        <w:rPr>
          <w:rFonts w:ascii="Arial" w:cs="Arial" w:eastAsia="Arial" w:hAnsi="Arial"/>
          <w:sz w:val="22"/>
          <w:szCs w:val="22"/>
        </w:rPr>
        <w:t xml:space="preserve">, 43(9), zsaa046. https://doi.org/10.1093/sleep/zsaa046</w:t>
      </w:r>
    </w:p>
    <w:p>
      <w:pPr>
        <w:spacing w:after="160" w:line="276" w:lineRule="auto"/>
        <w:jc w:val="both"/>
      </w:pPr>
      <w:r>
        <w:rPr>
          <w:rFonts w:ascii="Arial" w:cs="Arial" w:eastAsia="Arial" w:hAnsi="Arial"/>
          <w:sz w:val="22"/>
          <w:szCs w:val="22"/>
        </w:rPr>
        <w:t xml:space="preserve">Prabhakar, N. R. (2016). Carotid body chemoreflex: a driver of autonomic abnormalities in sleep apnoea. </w:t>
      </w:r>
      <w:r>
        <w:rPr>
          <w:rFonts w:ascii="Arial" w:cs="Arial" w:eastAsia="Arial" w:hAnsi="Arial"/>
          <w:i/>
          <w:iCs/>
          <w:sz w:val="22"/>
          <w:szCs w:val="22"/>
        </w:rPr>
        <w:t xml:space="preserve">Experimental Physiology</w:t>
      </w:r>
      <w:r>
        <w:rPr>
          <w:rFonts w:ascii="Arial" w:cs="Arial" w:eastAsia="Arial" w:hAnsi="Arial"/>
          <w:sz w:val="22"/>
          <w:szCs w:val="22"/>
        </w:rPr>
        <w:t xml:space="preserve">, 101(3), 394–399. https://doi.org/10.1113/EP085601</w:t>
      </w:r>
    </w:p>
    <w:p>
      <w:pPr>
        <w:spacing w:after="160" w:line="276" w:lineRule="auto"/>
        <w:jc w:val="both"/>
      </w:pPr>
      <w:r>
        <w:rPr>
          <w:rFonts w:ascii="Arial" w:cs="Arial" w:eastAsia="Arial" w:hAnsi="Arial"/>
          <w:sz w:val="22"/>
          <w:szCs w:val="22"/>
        </w:rPr>
        <w:t xml:space="preserve">Rousseeuw, P. J. (1987). Silhouettes: a graphical aid to the interpretation and validation of cluster analysis. </w:t>
      </w:r>
      <w:r>
        <w:rPr>
          <w:rFonts w:ascii="Arial" w:cs="Arial" w:eastAsia="Arial" w:hAnsi="Arial"/>
          <w:i/>
          <w:iCs/>
          <w:sz w:val="22"/>
          <w:szCs w:val="22"/>
        </w:rPr>
        <w:t xml:space="preserve">Journal of Computational and Applied Mathematics</w:t>
      </w:r>
      <w:r>
        <w:rPr>
          <w:rFonts w:ascii="Arial" w:cs="Arial" w:eastAsia="Arial" w:hAnsi="Arial"/>
          <w:sz w:val="22"/>
          <w:szCs w:val="22"/>
        </w:rPr>
        <w:t xml:space="preserve">, 20, 53–65. https://doi.org/10.1016/0377-0427(87)90125-7</w:t>
      </w:r>
    </w:p>
    <w:p>
      <w:pPr>
        <w:spacing w:after="160" w:line="276" w:lineRule="auto"/>
        <w:jc w:val="both"/>
      </w:pPr>
      <w:r>
        <w:rPr>
          <w:rFonts w:ascii="Arial" w:cs="Arial" w:eastAsia="Arial" w:hAnsi="Arial"/>
          <w:sz w:val="22"/>
          <w:szCs w:val="22"/>
        </w:rPr>
        <w:t xml:space="preserve">Wasserstein, R. L., &amp; Lazar, N. A. (2016). The ASA statement on </w:t>
      </w:r>
      <w:r>
        <w:rPr>
          <w:rFonts w:ascii="Arial" w:cs="Arial" w:eastAsia="Arial" w:hAnsi="Arial"/>
          <w:i/>
          <w:iCs/>
          <w:sz w:val="22"/>
          <w:szCs w:val="22"/>
        </w:rPr>
        <w:t xml:space="preserve">p</w:t>
      </w:r>
      <w:r>
        <w:rPr>
          <w:rFonts w:ascii="Arial" w:cs="Arial" w:eastAsia="Arial" w:hAnsi="Arial"/>
          <w:sz w:val="22"/>
          <w:szCs w:val="22"/>
        </w:rPr>
        <w:t xml:space="preserve">-values: context, process, and purpose. </w:t>
      </w:r>
      <w:r>
        <w:rPr>
          <w:rFonts w:ascii="Arial" w:cs="Arial" w:eastAsia="Arial" w:hAnsi="Arial"/>
          <w:i/>
          <w:iCs/>
          <w:sz w:val="22"/>
          <w:szCs w:val="22"/>
        </w:rPr>
        <w:t xml:space="preserve">The American Statistician</w:t>
      </w:r>
      <w:r>
        <w:rPr>
          <w:rFonts w:ascii="Arial" w:cs="Arial" w:eastAsia="Arial" w:hAnsi="Arial"/>
          <w:sz w:val="22"/>
          <w:szCs w:val="22"/>
        </w:rPr>
        <w:t xml:space="preserve">, 70(2), 129–133. https://doi.org/10.1080/00031305.2016.1154108</w:t>
      </w:r>
    </w:p>
    <w:p>
      <w:pPr>
        <w:spacing w:after="160" w:line="276" w:lineRule="auto"/>
        <w:jc w:val="both"/>
      </w:pPr>
      <w:r>
        <w:rPr>
          <w:rFonts w:ascii="Arial" w:cs="Arial" w:eastAsia="Arial" w:hAnsi="Arial"/>
          <w:sz w:val="22"/>
          <w:szCs w:val="22"/>
        </w:rPr>
        <w:t xml:space="preserve">Xie, J., Sert Kuniyoshi, F. H., Covassin, N., De Godoy, M. F., &amp; Somers, V. K. (2016). Excessive daytime sleepiness independently predicts increased cardiovascular risk after myocardial infarction. </w:t>
      </w:r>
      <w:r>
        <w:rPr>
          <w:rFonts w:ascii="Arial" w:cs="Arial" w:eastAsia="Arial" w:hAnsi="Arial"/>
          <w:i/>
          <w:iCs/>
          <w:sz w:val="22"/>
          <w:szCs w:val="22"/>
        </w:rPr>
        <w:t xml:space="preserve">Journal of the American Heart Association</w:t>
      </w:r>
      <w:r>
        <w:rPr>
          <w:rFonts w:ascii="Arial" w:cs="Arial" w:eastAsia="Arial" w:hAnsi="Arial"/>
          <w:sz w:val="22"/>
          <w:szCs w:val="22"/>
        </w:rPr>
        <w:t xml:space="preserve">, 5(3), e002913. https://doi.org/10.1161/JAHA.115.002913</w:t>
      </w:r>
    </w:p>
    <w:sectPr>
      <w:headerReference w:type="default" r:id="rId7"/>
      <w:footerReference w:type="default" r:id="rId8"/>
      <w:pgSz w:w="11906" w:h="16838" w:orient="portrait"/>
      <w:pgMar w:top="1134" w:right="1134" w:bottom="1134"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jc w:val="center"/>
    </w:pPr>
    <w:r>
      <w:rPr>
        <w:rFonts w:ascii="Arial" w:cs="Arial" w:eastAsia="Arial" w:hAnsi="Arial"/>
        <w:color w:val="888888"/>
        <w:sz w:val="16"/>
        <w:szCs w:val="16"/>
      </w:rPr>
      <w:t xml:space="preserve">Roberto Inza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8972"/>
      </w:tabs>
    </w:pPr>
    <w:r>
      <w:rPr>
        <w:rFonts w:ascii="Arial" w:cs="Arial" w:eastAsia="Arial" w:hAnsi="Arial"/>
        <w:color w:val="888888"/>
        <w:sz w:val="16"/>
        <w:szCs w:val="16"/>
      </w:rPr>
      <w:t xml:space="preserve">Proyecto APNEA  ·  Maestría en Explotación de Datos — Universidad Austral</w:t>
    </w:r>
    <w:r>
      <w:rPr>
        <w:rFonts w:ascii="Arial" w:cs="Arial" w:eastAsia="Arial" w:hAnsi="Arial"/>
      </w:rPr>
      <w:t xml:space="preserve">	</w:t>
    </w:r>
    <w:r>
      <w:rPr>
        <w:rFonts w:ascii="Arial" w:cs="Arial" w:eastAsia="Arial" w:hAnsi="Arial"/>
        <w:b/>
        <w:bCs/>
        <w:color w:val="888888"/>
        <w:sz w:val="16"/>
        <w:szCs w:val="16"/>
      </w:rPr>
      <w:t xml:space="preserve">Cap. 4 — Fenotipado Morfológico y 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C4E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2026-05-24T12:38:10.740Z</dcterms:created>
  <dcterms:modified xsi:type="dcterms:W3CDTF">2026-05-24T12:38:10.740Z</dcterms:modified>
</cp:coreProperties>
</file>

<file path=docProps/custom.xml><?xml version="1.0" encoding="utf-8"?>
<Properties xmlns="http://schemas.openxmlformats.org/officeDocument/2006/custom-properties" xmlns:vt="http://schemas.openxmlformats.org/officeDocument/2006/docPropsVTypes"/>
</file>