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Respuesta Autonómica de los Eventos de Desaturación</w:t>
      </w:r>
    </w:p>
    <w:p w14:paraId="41F9BBE9" w14:textId="70DDB27A" w:rsidR="00220889" w:rsidRDefault="00000000">
      <w:pPr>
        <w:pBdr>
          <w:bottom w:val="single" w:sz="6" w:space="8" w:color="1E3A5F"/>
        </w:pBdr>
        <w:spacing w:after="400"/>
      </w:pPr>
      <w:r>
        <w:rPr>
          <w:color w:val="6B7280"/>
          <w:sz w:val="18"/>
          <w:szCs w:val="18"/>
        </w:rPr>
        <w:t xml:space="preserve">Versión </w:t>
      </w:r>
      <w:r w:rsidR="0043142D">
        <w:rPr>
          <w:color w:val="6B7280"/>
          <w:sz w:val="18"/>
          <w:szCs w:val="18"/>
        </w:rPr>
        <w:t>10</w:t>
      </w:r>
      <w:r>
        <w:rPr>
          <w:color w:val="6B7280"/>
          <w:sz w:val="18"/>
          <w:szCs w:val="18"/>
        </w:rPr>
        <w:t xml:space="preserve">  ·  Mayo 2026</w:t>
      </w:r>
    </w:p>
    <w:p w14:paraId="16A8E69A" w14:textId="05F8E6E3" w:rsidR="00A71A2A" w:rsidRPr="00A71A2A" w:rsidRDefault="00A71A2A" w:rsidP="00A71A2A">
      <w:pPr>
        <w:pStyle w:val="font-claude-response-body"/>
        <w:spacing w:line="276" w:lineRule="auto"/>
        <w:jc w:val="both"/>
        <w:rPr>
          <w:rFonts w:ascii="Arial" w:hAnsi="Arial" w:cs="Arial"/>
        </w:rPr>
      </w:pPr>
      <w:r w:rsidRPr="00A71A2A">
        <w:rPr>
          <w:rFonts w:ascii="Arial" w:hAnsi="Arial" w:cs="Arial"/>
        </w:rPr>
        <w:t xml:space="preserve">Este capítulo integra los resultados de dos análisis del pipeline </w:t>
      </w:r>
      <w:r w:rsidRPr="00542413">
        <w:rPr>
          <w:rFonts w:ascii="Arial" w:hAnsi="Arial" w:cs="Arial"/>
          <w:b/>
          <w:bCs/>
        </w:rPr>
        <w:t>PAC_v</w:t>
      </w:r>
      <w:r w:rsidR="00542413" w:rsidRPr="00542413">
        <w:rPr>
          <w:rFonts w:ascii="Arial" w:hAnsi="Arial" w:cs="Arial"/>
          <w:b/>
          <w:bCs/>
        </w:rPr>
        <w:t>3</w:t>
      </w:r>
      <w:r w:rsidRPr="00A71A2A">
        <w:rPr>
          <w:rFonts w:ascii="Arial" w:hAnsi="Arial" w:cs="Arial"/>
        </w:rPr>
        <w:t xml:space="preserve">. </w:t>
      </w:r>
      <w:r w:rsidRPr="00A71A2A">
        <w:rPr>
          <w:rStyle w:val="Fuerte"/>
          <w:rFonts w:ascii="Arial" w:hAnsi="Arial" w:cs="Arial"/>
        </w:rPr>
        <w:t>NB01</w:t>
      </w:r>
      <w:r w:rsidRPr="00A71A2A">
        <w:rPr>
          <w:rFonts w:ascii="Arial" w:hAnsi="Arial" w:cs="Arial"/>
        </w:rPr>
        <w:t xml:space="preserve"> aplica PCA sobre las 85.277 curvas de SpO</w:t>
      </w:r>
      <w:r w:rsidRPr="00A71A2A">
        <w:rPr>
          <w:rFonts w:ascii="Cambria Math" w:hAnsi="Cambria Math" w:cs="Cambria Math"/>
        </w:rPr>
        <w:t>₂</w:t>
      </w:r>
      <w:r w:rsidRPr="00A71A2A">
        <w:rPr>
          <w:rFonts w:ascii="Arial" w:hAnsi="Arial" w:cs="Arial"/>
        </w:rPr>
        <w:t xml:space="preserve"> normalizadas (30 puntos por evento) y </w:t>
      </w:r>
      <w:r w:rsidRPr="00A71A2A">
        <w:rPr>
          <w:rStyle w:val="nfasis"/>
          <w:rFonts w:ascii="Arial" w:hAnsi="Arial" w:cs="Arial"/>
        </w:rPr>
        <w:t>K</w:t>
      </w:r>
      <w:r w:rsidRPr="00A71A2A">
        <w:rPr>
          <w:rFonts w:ascii="Arial" w:hAnsi="Arial" w:cs="Arial"/>
        </w:rPr>
        <w:t xml:space="preserve">-means (K = 5) para identificar los cinco morfotipos de curva (C1–C5), caracterizando sus propiedades geométricas y de profundidad. </w:t>
      </w:r>
      <w:r w:rsidRPr="00A71A2A">
        <w:rPr>
          <w:rStyle w:val="Fuerte"/>
          <w:rFonts w:ascii="Arial" w:hAnsi="Arial" w:cs="Arial"/>
        </w:rPr>
        <w:t>NB02</w:t>
      </w:r>
      <w:r w:rsidRPr="00A71A2A">
        <w:rPr>
          <w:rFonts w:ascii="Arial" w:hAnsi="Arial" w:cs="Arial"/>
        </w:rPr>
        <w:t xml:space="preserve"> calcula el Índice de Reactividad Autonómica (ARI) para cada evento, evalúa su ortogonalidad respecto a los índices convencionales de severidad y valida su estabilidad a lo largo de las noches de monitoreo de cada paciente.</w:t>
      </w:r>
    </w:p>
    <w:p w14:paraId="435871DB" w14:textId="68B6296C" w:rsidR="00220889" w:rsidRPr="00A71A2A" w:rsidRDefault="00A71A2A" w:rsidP="00A71A2A">
      <w:pPr>
        <w:pStyle w:val="font-claude-response-body"/>
        <w:spacing w:line="276" w:lineRule="auto"/>
        <w:jc w:val="both"/>
        <w:rPr>
          <w:rFonts w:ascii="Arial" w:hAnsi="Arial" w:cs="Arial"/>
        </w:rPr>
      </w:pPr>
      <w:r w:rsidRPr="00A71A2A">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sidRPr="00A71A2A">
        <w:rPr>
          <w:rStyle w:val="nfasis"/>
          <w:rFonts w:ascii="Arial" w:hAnsi="Arial" w:cs="Arial"/>
        </w:rPr>
        <w:t>K</w:t>
      </w:r>
      <w:r w:rsidRPr="00A71A2A">
        <w:rPr>
          <w:rFonts w:ascii="Arial" w:hAnsi="Arial" w:cs="Arial"/>
        </w:rPr>
        <w:t>-means sobre el corpus completo, y el cálculo del Índice de Reactividad Autonómica (ARI). El presente capítulo expone los resultados de esa caracterización: los cinco morfotipos de curva SpO</w:t>
      </w:r>
      <w:r w:rsidRPr="00A71A2A">
        <w:rPr>
          <w:rFonts w:ascii="Cambria Math" w:hAnsi="Cambria Math" w:cs="Cambria Math"/>
        </w:rPr>
        <w:t>₂</w:t>
      </w:r>
      <w:r w:rsidRPr="00A71A2A">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sidRPr="00A71A2A">
        <w:rPr>
          <w:rStyle w:val="nfasis"/>
          <w:rFonts w:ascii="Arial" w:hAnsi="Arial" w:cs="Arial"/>
        </w:rPr>
        <w:t>features</w:t>
      </w:r>
      <w:r w:rsidRPr="00A71A2A">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5B5CA53" w14:textId="77777777" w:rsidR="00220889" w:rsidRDefault="00000000">
      <w:pPr>
        <w:pStyle w:val="Ttulo3"/>
      </w:pPr>
      <w:r>
        <w:t>4.2.5  Correspondencia con morfotipos escalares (α–δ)</w:t>
      </w:r>
    </w:p>
    <w:p w14:paraId="7A1F8746"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18.876 eventos (residuo: 85.277 − α − β − γ; véase nota Tabla 4.3), careció de correspondencia morfológica limpia, lo que reforzó la decisión de priorizar los </w:t>
      </w:r>
      <w:r>
        <w:rPr>
          <w:i/>
          <w:iCs/>
        </w:rPr>
        <w:t>C-labels</w:t>
      </w:r>
      <w:r>
        <w:t xml:space="preserve"> como referencia para los análisis de severidad.</w:t>
      </w:r>
    </w:p>
    <w:p w14:paraId="26958051" w14:textId="77777777" w:rsidR="00220889" w:rsidRDefault="00220889">
      <w:pPr>
        <w:spacing w:after="80"/>
      </w:pPr>
    </w:p>
    <w:p w14:paraId="50686EE1" w14:textId="77777777" w:rsidR="00220889" w:rsidRDefault="00000000">
      <w:pPr>
        <w:spacing w:before="80" w:after="80"/>
        <w:jc w:val="center"/>
      </w:pPr>
      <w:r>
        <w:rPr>
          <w:b/>
          <w:bCs/>
          <w:sz w:val="18"/>
          <w:szCs w:val="18"/>
        </w:rPr>
        <w:t>Tabla 4.3. Correspondencia entre morfotipos rule-based (α–δ) y morfotipos de curva (C1–C5).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522"/>
        <w:gridCol w:w="1304"/>
        <w:gridCol w:w="4318"/>
      </w:tblGrid>
      <w:tr w:rsidR="00220889" w14:paraId="259BAEFF"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1728434" w14:textId="77777777" w:rsidR="00220889" w:rsidRDefault="00000000">
            <w:pPr>
              <w:jc w:val="center"/>
            </w:pPr>
            <w:r>
              <w:rPr>
                <w:b/>
                <w:bCs/>
                <w:color w:val="FFFFFF"/>
                <w:sz w:val="18"/>
                <w:szCs w:val="18"/>
              </w:rPr>
              <w:lastRenderedPageBreak/>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46B042" w14:textId="77777777" w:rsidR="00220889"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FE4A6FE" w14:textId="77777777" w:rsidR="00220889"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1E7685F" w14:textId="77777777" w:rsidR="00220889" w:rsidRDefault="00000000">
            <w:pPr>
              <w:jc w:val="center"/>
            </w:pPr>
            <w:r>
              <w:rPr>
                <w:b/>
                <w:bCs/>
                <w:color w:val="FFFFFF"/>
                <w:sz w:val="18"/>
                <w:szCs w:val="18"/>
              </w:rPr>
              <w:t>Interpretación</w:t>
            </w:r>
          </w:p>
        </w:tc>
      </w:tr>
      <w:tr w:rsidR="00220889" w14:paraId="592DE7B4"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95461A" w14:textId="77777777" w:rsidR="00220889"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9AF3FA4" w14:textId="77777777" w:rsidR="00220889"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295B82" w14:textId="77777777" w:rsidR="00220889"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A85767" w14:textId="77777777" w:rsidR="00220889" w:rsidRDefault="00000000">
            <w:r>
              <w:rPr>
                <w:color w:val="111111"/>
                <w:sz w:val="18"/>
                <w:szCs w:val="18"/>
              </w:rPr>
              <w:t>Corresponde casi en su totalidad al pool subcrítico mayoritario</w:t>
            </w:r>
          </w:p>
        </w:tc>
      </w:tr>
      <w:tr w:rsidR="00220889" w14:paraId="09B4C3CE"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1EC3B3" w14:textId="77777777" w:rsidR="00220889"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4685AB" w14:textId="77777777" w:rsidR="00220889"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082AA37" w14:textId="77777777" w:rsidR="00220889"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C8E98D" w14:textId="77777777" w:rsidR="00220889" w:rsidRDefault="00000000">
            <w:r>
              <w:rPr>
                <w:color w:val="111111"/>
                <w:sz w:val="18"/>
                <w:szCs w:val="18"/>
              </w:rPr>
              <w:t>EDOs leve-moderados con variabilidad de forma</w:t>
            </w:r>
          </w:p>
        </w:tc>
      </w:tr>
      <w:tr w:rsidR="00220889" w14:paraId="408A8E31"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C879CB" w14:textId="77777777" w:rsidR="00220889"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3F55749" w14:textId="77777777" w:rsidR="00220889"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224CA1" w14:textId="77777777" w:rsidR="00220889"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E2B6C6" w14:textId="77777777" w:rsidR="00220889" w:rsidRDefault="00000000">
            <w:r>
              <w:rPr>
                <w:color w:val="111111"/>
                <w:sz w:val="18"/>
                <w:szCs w:val="18"/>
              </w:rPr>
              <w:t>Concentra los eventos más severos — mayor carga hipóxica acumulada</w:t>
            </w:r>
          </w:p>
        </w:tc>
      </w:tr>
      <w:tr w:rsidR="00220889" w14:paraId="4FD4F954"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7DB37D" w14:textId="77777777" w:rsidR="00220889"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75B730A" w14:textId="77777777" w:rsidR="00220889" w:rsidRDefault="00000000">
            <w:pPr>
              <w:jc w:val="center"/>
            </w:pPr>
            <w:r>
              <w:rPr>
                <w:color w:val="111111"/>
                <w:sz w:val="18"/>
                <w:szCs w:val="18"/>
              </w:rPr>
              <w:t>18.876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A591C0C" w14:textId="77777777" w:rsidR="00220889"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795FB42" w14:textId="77777777" w:rsidR="00220889" w:rsidRDefault="00000000">
            <w:r>
              <w:rPr>
                <w:color w:val="111111"/>
                <w:sz w:val="18"/>
                <w:szCs w:val="18"/>
              </w:rPr>
              <w:t>Pool heterogéneo sin correspondencia morfológica limpia</w:t>
            </w:r>
          </w:p>
        </w:tc>
      </w:tr>
    </w:tbl>
    <w:p w14:paraId="386DEA00" w14:textId="77777777" w:rsidR="00220889"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 Los N de α, β y γ provienen del Maestro de análisis (NB01). El N de δ (18.876) se calculó como residuo (85.277 − 54.714 − 8.795 − 2.892) dado que el valor reportado en el Maestro (60.878) excedería el corpus in_quality total; requiere verificación en el pipeline.</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Algo más estable que C3 pese a menor prevalencia media</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w:t>
      </w:r>
      <w:r>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La Figura 4.5 ilustra el análisis </w:t>
      </w:r>
      <w:r>
        <w:rPr>
          <w:i/>
          <w:iCs/>
        </w:rPr>
        <w:t>within-stratum</w:t>
      </w:r>
      <w:r>
        <w:t>: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r>
      <w:r>
        <w:rPr>
          <w:i/>
          <w:iCs/>
          <w:color w:val="555555"/>
          <w:sz w:val="16"/>
          <w:szCs w:val="16"/>
        </w:rPr>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