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 xml:space="preserve">Versión </w:t>
      </w:r>
      <w:r w:rsidR="0043142D">
        <w:rPr>
          <w:color w:val="6B7280"/>
          <w:sz w:val="18"/>
          <w:szCs w:val="18"/>
        </w:rPr>
        <w:t>11</w:t>
      </w:r>
      <w:r>
        <w:rPr>
          <w:color w:val="6B7280"/>
          <w:sz w:val="18"/>
          <w:szCs w:val="18"/>
        </w:rPr>
        <w:t xml:space="preserve">  ·  Mayo 2026</w:t>
      </w:r>
    </w:p>
    <w:p w14:paraId="16A8E69A" w14:textId="05F8E6E3" w:rsidR="00A71A2A" w:rsidRPr="00A71A2A" w:rsidRDefault="00A71A2A" w:rsidP="00A71A2A">
      <w:pPr>
        <w:pStyle w:val="font-claude-response-body"/>
        <w:spacing w:line="276" w:lineRule="auto"/>
        <w:jc w:val="both"/>
        <w:rPr>
          <w:rFonts w:ascii="Arial" w:hAnsi="Arial" w:cs="Arial"/>
        </w:rPr>
      </w:pPr>
      <w:r w:rsidRPr="00A71A2A">
        <w:rPr>
          <w:rFonts w:ascii="Arial" w:hAnsi="Arial" w:cs="Arial"/>
        </w:rPr>
        <w:t xml:space="preserve">Este capítulo integra los resultados de dos análisis del pipeline </w:t>
      </w:r>
      <w:r w:rsidRPr="00542413">
        <w:rPr>
          <w:rFonts w:ascii="Arial" w:hAnsi="Arial" w:cs="Arial"/>
          <w:b/>
          <w:bCs/>
        </w:rPr>
        <w:t>PAC_v</w:t>
      </w:r>
      <w:r w:rsidR="00542413" w:rsidRPr="00542413">
        <w:rPr>
          <w:rFonts w:ascii="Arial" w:hAnsi="Arial" w:cs="Arial"/>
          <w:b/>
          <w:bCs/>
        </w:rPr>
        <w:t>3</w:t>
      </w:r>
      <w:r w:rsidRPr="00A71A2A">
        <w:rPr>
          <w:rFonts w:ascii="Arial" w:hAnsi="Arial" w:cs="Arial"/>
        </w:rPr>
        <w:t xml:space="preserve">. </w:t>
      </w:r>
      <w:r w:rsidRPr="00A71A2A">
        <w:rPr>
          <w:rStyle w:val="Fuerte"/>
          <w:rFonts w:ascii="Arial" w:hAnsi="Arial" w:cs="Arial"/>
        </w:rPr>
        <w:t>NB01</w:t>
      </w:r>
      <w:r w:rsidRPr="00A71A2A">
        <w:rPr>
          <w:rFonts w:ascii="Arial" w:hAnsi="Arial" w:cs="Arial"/>
        </w:rPr>
        <w:t xml:space="preserve"> aplica PCA sobre las 84.248 curvas de SpO</w:t>
      </w:r>
      <w:r w:rsidRPr="00A71A2A">
        <w:rPr>
          <w:rFonts w:ascii="Cambria Math" w:hAnsi="Cambria Math" w:cs="Cambria Math"/>
        </w:rPr>
        <w:t>₂</w:t>
      </w:r>
      <w:r w:rsidRPr="00A71A2A">
        <w:rPr>
          <w:rFonts w:ascii="Arial" w:hAnsi="Arial" w:cs="Arial"/>
        </w:rPr>
        <w:t xml:space="preserve"> normalizadas (30 puntos por evento) y </w:t>
      </w:r>
      <w:r w:rsidRPr="00A71A2A">
        <w:rPr>
          <w:rStyle w:val="nfasis"/>
          <w:rFonts w:ascii="Arial" w:hAnsi="Arial" w:cs="Arial"/>
        </w:rPr>
        <w:t>K</w:t>
      </w:r>
      <w:r w:rsidRPr="00A71A2A">
        <w:rPr>
          <w:rFonts w:ascii="Arial" w:hAnsi="Arial" w:cs="Arial"/>
        </w:rPr>
        <w:t xml:space="preserve">-means (K = 5) para identificar los cinco morfotipos de curva (C1–C5), caracterizando sus propiedades geométricas y de profundidad. </w:t>
      </w:r>
      <w:r w:rsidRPr="00A71A2A">
        <w:rPr>
          <w:rStyle w:val="Fuerte"/>
          <w:rFonts w:ascii="Arial" w:hAnsi="Arial" w:cs="Arial"/>
        </w:rPr>
        <w:t>NB02</w:t>
      </w:r>
      <w:r w:rsidRPr="00A71A2A">
        <w:rPr>
          <w:rFonts w:ascii="Arial" w:hAnsi="Arial" w:cs="Arial"/>
        </w:rPr>
        <w:t xml:space="preserve"> calcula el Índice de Reactividad Autonómica (ARI) para cada evento, evalúa su escasa correlación con los índices convencionales de severidad y valida su estabilidad a lo largo de las noches de monitoreo de cada paciente.</w:t>
      </w:r>
    </w:p>
    <w:p w14:paraId="435871DB" w14:textId="68B6296C" w:rsidR="00220889" w:rsidRPr="00A71A2A" w:rsidRDefault="00A71A2A" w:rsidP="00A71A2A">
      <w:pPr>
        <w:pStyle w:val="font-claude-response-body"/>
        <w:spacing w:line="276" w:lineRule="auto"/>
        <w:jc w:val="both"/>
        <w:rPr>
          <w:rFonts w:ascii="Arial" w:hAnsi="Arial" w:cs="Arial"/>
        </w:rPr>
      </w:pPr>
      <w:r w:rsidRPr="00A71A2A">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sidRPr="00A71A2A">
        <w:rPr>
          <w:rStyle w:val="nfasis"/>
          <w:rFonts w:ascii="Arial" w:hAnsi="Arial" w:cs="Arial"/>
        </w:rPr>
        <w:t>K</w:t>
      </w:r>
      <w:r w:rsidRPr="00A71A2A">
        <w:rPr>
          <w:rFonts w:ascii="Arial" w:hAnsi="Arial" w:cs="Arial"/>
        </w:rPr>
        <w:t>-means sobre el corpus completo, y el cálculo del Índice de Reactividad Autonómica (ARI). El presente capítulo expone los resultados de esa caracterización: los cinco morfotipos de curva SpO</w:t>
      </w:r>
      <w:r w:rsidRPr="00A71A2A">
        <w:rPr>
          <w:rFonts w:ascii="Cambria Math" w:hAnsi="Cambria Math" w:cs="Cambria Math"/>
        </w:rPr>
        <w:t>₂</w:t>
      </w:r>
      <w:r w:rsidRPr="00A71A2A">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sidRPr="00A71A2A">
        <w:rPr>
          <w:rStyle w:val="nfasis"/>
          <w:rFonts w:ascii="Arial" w:hAnsi="Arial" w:cs="Arial"/>
        </w:rPr>
        <w:t>features</w:t>
      </w:r>
      <w:r w:rsidRPr="00A71A2A">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fue de 17,9 ± 14,1 ev/h (mediana: 14,6 ev/h), consistente con una cohorte de riesgo moderado.</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(α–δ)</w:t>
      </w:r>
    </w:p>
    <w:p w14:paraId="7A1F8746"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basado en reglas escalares (α/β/γ/δ, construido sobre 10 </w:t>
      </w:r>
      <w:r>
        <w:rPr>
          <w:i/>
          <w:iCs/>
        </w:rPr>
        <w:t>features</w:t>
      </w:r>
      <w:r>
        <w:t xml:space="preserve"> morfológicas resumen). La Tabla 4.3 muestra el </w:t>
      </w:r>
      <w:r>
        <w:rPr>
          <w:i/>
          <w:iCs/>
        </w:rPr>
        <w:t>overlap</w:t>
      </w:r>
      <w:r>
        <w:t xml:space="preserve"> entre ambos sistemas. La convergencia más notable fue la del morfotipo γ </w:t>
      </w:r>
      <w:r>
        <w:rPr>
          <w:i/>
          <w:iCs/>
        </w:rPr>
        <w:t>rule-based</w:t>
      </w:r>
      <w:r>
        <w:t xml:space="preserve">, que concentró C4 y C5 del sistema de curvas (36 % y 26 %, respectivamente). Sin embargo, γ incluyó también un 33 % de eventos C3, mostrando fronteras más difusas que las del sistema de curva. El morfotipo δ </w:t>
      </w:r>
      <w:r>
        <w:rPr>
          <w:i/>
          <w:iCs/>
        </w:rPr>
        <w:t>rule-based</w:t>
      </w:r>
      <w:r>
        <w:t xml:space="preserve">, con 18.876 eventos (residuo: 85.277 − α − β − γ; véase nota Tabla 4.3), careció de correspondencia morfológica limpia, lo que reforzó la decisión de priorizar los </w:t>
      </w:r>
      <w:r>
        <w:rPr>
          <w:i/>
          <w:iCs/>
        </w:rPr>
        <w:t>C-labels</w:t>
      </w:r>
      <w:r>
        <w:t xml:space="preserve"> como referencia para los análisis de severidad.</w:t>
      </w:r>
    </w:p>
    <w:p w14:paraId="26958051" w14:textId="77777777" w:rsidR="00220889" w:rsidRDefault="00220889">
      <w:pPr>
        <w:spacing w:after="80"/>
      </w:pPr>
    </w:p>
    <w:p w14:paraId="50686EE1" w14:textId="77777777" w:rsidR="00220889" w:rsidRDefault="00000000">
      <w:pPr>
        <w:spacing w:before="80" w:after="80"/>
        <w:jc w:val="center"/>
      </w:pPr>
      <w:r>
        <w:rPr>
          <w:b/>
          <w:bCs/>
          <w:sz w:val="18"/>
          <w:szCs w:val="18"/>
        </w:rPr>
        <w:t>Tabla 4.3. Correspondencia entre morfotipos rule-based (α–δ) y morfotipos de curva (C1–C5).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2"/>
        <w:gridCol w:w="1522"/>
        <w:gridCol w:w="1304"/>
        <w:gridCol w:w="4318"/>
      </w:tblGrid>
      <w:tr w:rsidR="00220889" w14:paraId="259BAEFF" w14:textId="77777777">
        <w:tblPrEx>
          <w:tblCellMar>
            <w:top w:w="0" w:type="dxa"/>
            <w:bottom w:w="0" w:type="dxa"/>
          </w:tblCellMar>
        </w:tblPrEx>
        <w:trPr>
          <w:tblHeader/>
        </w:trPr>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1728434" w14:textId="77777777" w:rsidR="00220889" w:rsidRDefault="00000000">
            <w:pPr>
              <w:jc w:val="center"/>
            </w:pPr>
            <w:r>
              <w:rPr>
                <w:b/>
                <w:bCs/>
                <w:color w:val="FFFFFF"/>
                <w:sz w:val="18"/>
                <w:szCs w:val="18"/>
              </w:rPr>
              <w:lastRenderedPageBreak/>
              <w:t>Morfotipo rule-based</w:t>
            </w:r>
          </w:p>
        </w:tc>
        <w:tc>
          <w:tcPr>
            <w:tcW w:w="14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46B042" w14:textId="77777777" w:rsidR="00220889" w:rsidRDefault="00000000">
            <w:pPr>
              <w:jc w:val="center"/>
            </w:pPr>
            <w:r>
              <w:rPr>
                <w:b/>
                <w:bCs/>
                <w:color w:val="FFFFFF"/>
                <w:sz w:val="18"/>
                <w:szCs w:val="18"/>
              </w:rPr>
              <w:t>N eventos</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FE4A6FE" w14:textId="77777777" w:rsidR="00220889" w:rsidRDefault="00000000">
            <w:pPr>
              <w:jc w:val="center"/>
            </w:pPr>
            <w:r>
              <w:rPr>
                <w:b/>
                <w:bCs/>
                <w:color w:val="FFFFFF"/>
                <w:sz w:val="18"/>
                <w:szCs w:val="18"/>
              </w:rPr>
              <w:t>Alineación principal</w:t>
            </w:r>
          </w:p>
        </w:tc>
        <w:tc>
          <w:tcPr>
            <w:tcW w:w="3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1E7685F" w14:textId="77777777" w:rsidR="00220889" w:rsidRDefault="00000000">
            <w:pPr>
              <w:jc w:val="center"/>
            </w:pPr>
            <w:r>
              <w:rPr>
                <w:b/>
                <w:bCs/>
                <w:color w:val="FFFFFF"/>
                <w:sz w:val="18"/>
                <w:szCs w:val="18"/>
              </w:rPr>
              <w:t>Interpretación</w:t>
            </w:r>
          </w:p>
        </w:tc>
      </w:tr>
      <w:tr w:rsidR="00220889" w14:paraId="592DE7B4"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095461A" w14:textId="77777777" w:rsidR="00220889" w:rsidRDefault="00000000">
            <w:r>
              <w:rPr>
                <w:color w:val="111111"/>
                <w:sz w:val="18"/>
                <w:szCs w:val="18"/>
              </w:rPr>
              <w:t>α</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9AF3FA4" w14:textId="77777777" w:rsidR="00220889" w:rsidRDefault="00000000">
            <w:pPr>
              <w:jc w:val="center"/>
            </w:pPr>
            <w:r>
              <w:rPr>
                <w:color w:val="111111"/>
                <w:sz w:val="18"/>
                <w:szCs w:val="18"/>
              </w:rPr>
              <w:t>54.714</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295B82" w14:textId="77777777" w:rsidR="00220889" w:rsidRDefault="00000000">
            <w:r>
              <w:rPr>
                <w:color w:val="111111"/>
                <w:sz w:val="18"/>
                <w:szCs w:val="18"/>
              </w:rPr>
              <w:t>→ C1 (92,5 %)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A85767" w14:textId="77777777" w:rsidR="00220889" w:rsidRDefault="00000000">
            <w:r>
              <w:rPr>
                <w:color w:val="111111"/>
                <w:sz w:val="18"/>
                <w:szCs w:val="18"/>
              </w:rPr>
              <w:t>Corresponde casi en su totalidad al pool subcrítico mayoritario</w:t>
            </w:r>
          </w:p>
        </w:tc>
      </w:tr>
      <w:tr w:rsidR="00220889" w14:paraId="09B4C3CE"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1EC3B3" w14:textId="77777777" w:rsidR="00220889" w:rsidRDefault="00000000">
            <w:r>
              <w:rPr>
                <w:color w:val="111111"/>
                <w:sz w:val="18"/>
                <w:szCs w:val="18"/>
              </w:rPr>
              <w:t>β</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4685AB" w14:textId="77777777" w:rsidR="00220889" w:rsidRDefault="00000000">
            <w:pPr>
              <w:jc w:val="center"/>
            </w:pPr>
            <w:r>
              <w:rPr>
                <w:color w:val="111111"/>
                <w:sz w:val="18"/>
                <w:szCs w:val="18"/>
              </w:rPr>
              <w:t>8.795</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082AA37" w14:textId="77777777" w:rsidR="00220889" w:rsidRDefault="00000000">
            <w:r>
              <w:rPr>
                <w:color w:val="111111"/>
                <w:sz w:val="18"/>
                <w:szCs w:val="18"/>
              </w:rPr>
              <w:t>→ C2 (57 %), C3 (19 %)</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C8E98D" w14:textId="77777777" w:rsidR="00220889" w:rsidRDefault="00000000">
            <w:r>
              <w:rPr>
                <w:color w:val="111111"/>
                <w:sz w:val="18"/>
                <w:szCs w:val="18"/>
              </w:rPr>
              <w:t>EDOs leve-moderados con variabilidad de forma</w:t>
            </w:r>
          </w:p>
        </w:tc>
      </w:tr>
      <w:tr w:rsidR="00220889" w14:paraId="408A8E31" w14:textId="77777777">
        <w:tblPrEx>
          <w:tblCellMar>
            <w:top w:w="0" w:type="dxa"/>
            <w:bottom w:w="0" w:type="dxa"/>
          </w:tblCellMar>
        </w:tblPrEx>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C879CB" w14:textId="77777777" w:rsidR="00220889" w:rsidRDefault="00000000">
            <w:r>
              <w:rPr>
                <w:color w:val="111111"/>
                <w:sz w:val="18"/>
                <w:szCs w:val="18"/>
              </w:rPr>
              <w:t>γ</w:t>
            </w:r>
          </w:p>
        </w:tc>
        <w:tc>
          <w:tcPr>
            <w:tcW w:w="14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3F55749" w14:textId="77777777" w:rsidR="00220889" w:rsidRDefault="00000000">
            <w:pPr>
              <w:jc w:val="center"/>
            </w:pPr>
            <w:r>
              <w:rPr>
                <w:color w:val="111111"/>
                <w:sz w:val="18"/>
                <w:szCs w:val="18"/>
              </w:rPr>
              <w:t>2.892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6224CA1" w14:textId="77777777" w:rsidR="00220889" w:rsidRDefault="00000000">
            <w:r>
              <w:rPr>
                <w:color w:val="111111"/>
                <w:sz w:val="18"/>
                <w:szCs w:val="18"/>
              </w:rPr>
              <w:t>→ C4 (36 %), C5 (26 %), C3 (33 %)</w:t>
            </w:r>
          </w:p>
        </w:tc>
        <w:tc>
          <w:tcPr>
            <w:tcW w:w="3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CE2B6C6" w14:textId="77777777" w:rsidR="00220889" w:rsidRDefault="00000000">
            <w:r>
              <w:rPr>
                <w:color w:val="111111"/>
                <w:sz w:val="18"/>
                <w:szCs w:val="18"/>
              </w:rPr>
              <w:t>Concentra los eventos más severos — mayor carga hipóxica acumulada</w:t>
            </w:r>
          </w:p>
        </w:tc>
      </w:tr>
      <w:tr w:rsidR="00220889" w14:paraId="4FD4F954" w14:textId="77777777">
        <w:tblPrEx>
          <w:tblCellMar>
            <w:top w:w="0" w:type="dxa"/>
            <w:bottom w:w="0" w:type="dxa"/>
          </w:tblCellMar>
        </w:tblPrEx>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7DB37D" w14:textId="77777777" w:rsidR="00220889" w:rsidRDefault="00000000">
            <w:r>
              <w:rPr>
                <w:color w:val="111111"/>
                <w:sz w:val="18"/>
                <w:szCs w:val="18"/>
              </w:rPr>
              <w:t>δ</w:t>
            </w:r>
          </w:p>
        </w:tc>
        <w:tc>
          <w:tcPr>
            <w:tcW w:w="14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75B730A" w14:textId="77777777" w:rsidR="00220889" w:rsidRDefault="00000000">
            <w:pPr>
              <w:jc w:val="center"/>
            </w:pPr>
            <w:r>
              <w:rPr>
                <w:color w:val="111111"/>
                <w:sz w:val="18"/>
                <w:szCs w:val="18"/>
              </w:rPr>
              <w:t>18.876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A591C0C" w14:textId="77777777" w:rsidR="00220889" w:rsidRDefault="00000000">
            <w:r>
              <w:rPr>
                <w:color w:val="111111"/>
                <w:sz w:val="18"/>
                <w:szCs w:val="18"/>
              </w:rPr>
              <w:t>→ C1 mayoritario + C2</w:t>
            </w:r>
          </w:p>
        </w:tc>
        <w:tc>
          <w:tcPr>
            <w:tcW w:w="3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795FB42" w14:textId="77777777" w:rsidR="00220889" w:rsidRDefault="00000000">
            <w:r>
              <w:rPr>
                <w:color w:val="111111"/>
                <w:sz w:val="18"/>
                <w:szCs w:val="18"/>
              </w:rPr>
              <w:t>Pool heterogéneo sin correspondencia morfológica limpia</w:t>
            </w:r>
          </w:p>
        </w:tc>
      </w:tr>
    </w:tbl>
    <w:p w14:paraId="386DEA00" w14:textId="77777777" w:rsidR="00220889" w:rsidRDefault="00000000">
      <w:pPr>
        <w:spacing w:before="60" w:after="200"/>
        <w:jc w:val="center"/>
      </w:pPr>
      <w:r>
        <w:rPr>
          <w:i/>
          <w:iCs/>
          <w:color w:val="444444"/>
          <w:sz w:val="18"/>
          <w:szCs w:val="18"/>
        </w:rPr>
        <w:t>Nota. Los porcentajes en la columna de alineación principal indican la fracción de eventos del morfotipo rule-based que pertenecen al morfotipo de curva indicado. Los N de α, β y γ provienen del Maestro de análisis (NB01). El N de δ (18.876) se calculó como residuo (85.277 − 54.714 − 8.795 − 2.892) dado que el valor reportado en el Maestro (60.878) excedería el corpus in_quality total; requiere verificación en el pipeline.</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Algo más estable que C3 pese a menor prevalencia media</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r>
      <w:r>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La Figura 4.5 ilustra el análisis </w:t>
      </w:r>
      <w:r>
        <w:rPr>
          <w:i/>
          <w:iCs/>
        </w:rPr>
        <w:t>within-stratum</w:t>
      </w:r>
      <w:r>
        <w:t>: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Una limitación inherente al monitoreo ambulatorio es la variabilidad noche-a-noche: el ODI3 puede variar un 30–50 % entre noches consecutivas del mismo paciente (Bittencourt et al., 2001; Levendowski et al., 2009). Para cuantificar esta variabilidad y determinar cuántas noches serían suficientes para una estimación estable, se construyeron curvas de estabilización mediante </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(490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r>
      <w:r>
        <w:rPr>
          <w:i/>
          <w:iCs/>
          <w:color w:val="555555"/>
          <w:sz w:val="16"/>
          <w:szCs w:val="16"/>
        </w:rPr>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que podría capturarse con pocas noches de monitoreo.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el ODI3 en esta cohorte (ρ = 0,034).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Finalmente, la validación multi-noche mostró que la agregación de registros domiciliarios mejora sustancialmente la fiabilidad de las métricas, y que el protocolo de este proyecto (medianas de 55–116 noches por paciente en la cohorte estricta) proporciona una base longitudinal considerablemente más rica que el estudio de sueño de una sola noche.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