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11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Fuerte"/>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Fuerte"/>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435871DB" w14:textId="68B6296C" w:rsidR="00220889" w:rsidRPr="00A71A2A" w:rsidRDefault="00A71A2A" w:rsidP="00A71A2A">
      <w:pPr>
        <w:pStyle w:val="font-claude-response-body"/>
        <w:spacing w:line="276" w:lineRule="auto"/>
        <w:jc w:val="both"/>
        <w:rPr>
          <w:rFonts w:ascii="Arial" w:hAnsi="Arial" w:cs="Arial"/>
        </w:rPr>
      </w:pPr>
      <w:r>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Style w:val="nfasis"/>
          <w:rFonts w:ascii="Arial" w:hAnsi="Arial" w:cs="Arial"/>
        </w:rPr>
        <w:t>K</w:t>
      </w:r>
      <w:r>
        <w:rPr>
          <w:rFonts w:ascii="Arial" w:hAnsi="Arial" w:cs="Arial"/>
        </w:rPr>
        <w:t>-means sobre el corpus completo, y el cálculo del Índice de Reactividad Autonómica (ARI). El presente capítulo expone los resultados de esa caracterización: los cinco morfotipos de curva SpO</w:t>
      </w:r>
      <w:r>
        <w:rPr>
          <w:rFonts w:ascii="Cambria Math" w:hAnsi="Cambria Math" w:cs="Cambria Math"/>
        </w:rPr>
        <w:t>₂</w:t>
      </w:r>
      <w:r>
        <w:rPr>
          <w:rFonts w:ascii="Arial" w:hAnsi="Arial" w:cs="Arial"/>
        </w:rPr>
        <w:t xml:space="preserve">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Style w:val="nfasis"/>
          <w:rFonts w:ascii="Arial" w:hAnsi="Arial" w:cs="Arial"/>
        </w:rPr>
        <w:t>features</w:t>
      </w:r>
      <w:r>
        <w:rPr>
          <w:rFonts w:ascii="Arial" w:hAnsi="Arial" w:cs="Arial"/>
        </w:rPr>
        <w:t xml:space="preserve"> nocturnas que se desarrolla en el Capítulo 5.</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§3.1.</w:t>
      </w:r>
    </w:p>
    <w:p w14:paraId="40A0216A" w14:textId="77777777" w:rsidR="00220889"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 Esta clasificación expresa cuántos eventos ocurrieron, pero no su forma: dos pacientes con ODI3 idéntico pueden presentar perfiles morfológicos marcadamente distintos, lo que motiva el análisis que sigue.</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339978A3" w14:textId="77777777" w:rsidR="00220889" w:rsidRDefault="00000000">
      <w:pPr>
        <w:spacing w:before="60" w:after="40"/>
        <w:jc w:val="center"/>
      </w:pPr>
      <w:r>
        <w:rPr>
          <w:b/>
          <w:bCs/>
          <w:color w:val="333333"/>
          <w:sz w:val="18"/>
          <w:szCs w:val="18"/>
        </w:rPr>
        <w:t>Figura 4.3. Perfiles de frecuencia cardíaca (FC, fila A) y movimiento (MOV, fila B) por morfotipo C1–C5.</w:t>
      </w:r>
    </w:p>
    <w:p w14:paraId="21B5D684" w14:textId="77777777" w:rsidR="00220889" w:rsidRDefault="00000000">
      <w:pPr>
        <w:spacing w:before="80" w:after="40"/>
        <w:jc w:val="center"/>
      </w:pPr>
      <w:r>
        <w:rPr>
          <w:noProof/>
        </w:rPr>
        <w:lastRenderedPageBreak/>
        <w:drawing>
          <wp:inline distT="0" distB="0" distL="0" distR="0" wp14:anchorId="10DA2393" wp14:editId="1B938716">
            <wp:extent cx="4191000" cy="1657350"/>
            <wp:effectExtent l="0" t="0" r="0" b="0"/>
            <wp:docPr id="76259221" name="Imagen 762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57F33C80" w14:textId="77777777" w:rsidR="00220889"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0E83F1A2" w14:textId="77777777" w:rsidR="00220889" w:rsidRDefault="00000000">
      <w:pPr>
        <w:pStyle w:val="Ttulo3"/>
      </w:pPr>
      <w:r>
        <w:t>4.2.4  Intervalo inter-evento</w:t>
      </w:r>
    </w:p>
    <w:p w14:paraId="76D99F00"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w:t>
      </w:r>
      <w:r>
        <w:rPr>
          <w:i/>
          <w:iCs/>
        </w:rPr>
        <w:t>trenes apneicos</w:t>
      </w:r>
      <w: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14:paraId="15B5CA53" w14:textId="77777777" w:rsidR="00220889" w:rsidRDefault="00000000">
      <w:pPr>
        <w:pStyle w:val="Ttulo3"/>
      </w:pPr>
      <w:r>
        <w:t>4.2.5  Correspondencia con morfotipos escalares (α–δ)</w:t>
      </w:r>
    </w:p>
    <w:p w14:paraId="7A1F8746" w14:textId="77777777" w:rsidR="00220889"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basado en reglas escalares (α/β/γ/δ, construido sobre 10 </w:t>
      </w:r>
      <w:r>
        <w:rPr>
          <w:i/>
          <w:iCs/>
        </w:rPr>
        <w:t>features</w:t>
      </w:r>
      <w:r>
        <w:t xml:space="preserve"> morfológicas resumen). La Tabla 4.3 muestra el </w:t>
      </w:r>
      <w:r>
        <w:rPr>
          <w:i/>
          <w:iCs/>
        </w:rPr>
        <w:t>overlap</w:t>
      </w:r>
      <w:r>
        <w:t xml:space="preserve"> entre ambos sistemas. La convergencia más notable fue la del morfotipo γ </w:t>
      </w:r>
      <w:r>
        <w:rPr>
          <w:i/>
          <w:iCs/>
        </w:rPr>
        <w:t>rule-based</w:t>
      </w:r>
      <w:r>
        <w:t xml:space="preserve">, que concentró C4 y C5 del sistema de curvas (36 % y 26 %, respectivamente). Sin embargo, γ incluyó también un 33 % de eventos C3, mostrando fronteras más difusas que las del sistema de curva. El morfotipo δ </w:t>
      </w:r>
      <w:r>
        <w:rPr>
          <w:i/>
          <w:iCs/>
        </w:rPr>
        <w:t>rule-based</w:t>
      </w:r>
      <w:r>
        <w:t xml:space="preserve">, con 18.876 eventos (residuo: 85.277 − α − β − γ; véase nota Tabla 4.3), careció de correspondencia morfológica limpia, lo que reforzó la decisión de priorizar los </w:t>
      </w:r>
      <w:r>
        <w:rPr>
          <w:i/>
          <w:iCs/>
        </w:rPr>
        <w:t>C-labels</w:t>
      </w:r>
      <w:r>
        <w:t xml:space="preserve"> como referencia para los análisis de severidad.</w:t>
      </w:r>
    </w:p>
    <w:p w14:paraId="26958051" w14:textId="77777777" w:rsidR="00220889" w:rsidRDefault="00220889">
      <w:pPr>
        <w:spacing w:after="80"/>
      </w:pPr>
    </w:p>
    <w:p w14:paraId="50686EE1" w14:textId="77777777" w:rsidR="00220889" w:rsidRDefault="00000000">
      <w:pPr>
        <w:spacing w:before="80" w:after="80"/>
        <w:jc w:val="center"/>
      </w:pPr>
      <w:r>
        <w:rPr>
          <w:b/>
          <w:bCs/>
          <w:sz w:val="18"/>
          <w:szCs w:val="18"/>
        </w:rPr>
        <w:t>Tabla 4.3. Correspondencia entre morfotipos rule-based (α–δ) y morfotipos de curva (C1–C5).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522"/>
        <w:gridCol w:w="1304"/>
        <w:gridCol w:w="4318"/>
      </w:tblGrid>
      <w:tr w:rsidR="00220889" w14:paraId="259BAEFF" w14:textId="77777777">
        <w:tblPrEx>
          <w:tblCellMar>
            <w:top w:w="0" w:type="dxa"/>
            <w:bottom w:w="0" w:type="dxa"/>
          </w:tblCellMar>
        </w:tblPrEx>
        <w:trPr>
          <w:tblHeader/>
        </w:trPr>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1728434" w14:textId="77777777" w:rsidR="00220889" w:rsidRDefault="00000000">
            <w:pPr>
              <w:jc w:val="center"/>
            </w:pPr>
            <w:r>
              <w:rPr>
                <w:b/>
                <w:bCs/>
                <w:color w:val="FFFFFF"/>
                <w:sz w:val="18"/>
                <w:szCs w:val="18"/>
              </w:rPr>
              <w:lastRenderedPageBreak/>
              <w:t>Morfotipo rule-based</w:t>
            </w:r>
          </w:p>
        </w:tc>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46B042" w14:textId="77777777" w:rsidR="00220889" w:rsidRDefault="00000000">
            <w:pPr>
              <w:jc w:val="center"/>
            </w:pPr>
            <w:r>
              <w:rPr>
                <w:b/>
                <w:bCs/>
                <w:color w:val="FFFFFF"/>
                <w:sz w:val="18"/>
                <w:szCs w:val="18"/>
              </w:rPr>
              <w:t>N eventos</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FE4A6FE" w14:textId="77777777" w:rsidR="00220889" w:rsidRDefault="00000000">
            <w:pPr>
              <w:jc w:val="center"/>
            </w:pPr>
            <w:r>
              <w:rPr>
                <w:b/>
                <w:bCs/>
                <w:color w:val="FFFFFF"/>
                <w:sz w:val="18"/>
                <w:szCs w:val="18"/>
              </w:rPr>
              <w:t>Alineación principal</w:t>
            </w:r>
          </w:p>
        </w:tc>
        <w:tc>
          <w:tcPr>
            <w:tcW w:w="3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1E7685F" w14:textId="77777777" w:rsidR="00220889" w:rsidRDefault="00000000">
            <w:pPr>
              <w:jc w:val="center"/>
            </w:pPr>
            <w:r>
              <w:rPr>
                <w:b/>
                <w:bCs/>
                <w:color w:val="FFFFFF"/>
                <w:sz w:val="18"/>
                <w:szCs w:val="18"/>
              </w:rPr>
              <w:t>Interpretación</w:t>
            </w:r>
          </w:p>
        </w:tc>
      </w:tr>
      <w:tr w:rsidR="00220889" w14:paraId="592DE7B4"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095461A" w14:textId="77777777" w:rsidR="00220889" w:rsidRDefault="00000000">
            <w:r>
              <w:rPr>
                <w:color w:val="111111"/>
                <w:sz w:val="18"/>
                <w:szCs w:val="18"/>
              </w:rPr>
              <w:t>α</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9AF3FA4" w14:textId="77777777" w:rsidR="00220889" w:rsidRDefault="00000000">
            <w:pPr>
              <w:jc w:val="center"/>
            </w:pPr>
            <w:r>
              <w:rPr>
                <w:color w:val="111111"/>
                <w:sz w:val="18"/>
                <w:szCs w:val="18"/>
              </w:rPr>
              <w:t>54.714</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295B82" w14:textId="77777777" w:rsidR="00220889" w:rsidRDefault="00000000">
            <w:r>
              <w:rPr>
                <w:color w:val="111111"/>
                <w:sz w:val="18"/>
                <w:szCs w:val="18"/>
              </w:rPr>
              <w:t>→ C1 (92,5 %)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A85767" w14:textId="77777777" w:rsidR="00220889" w:rsidRDefault="00000000">
            <w:r>
              <w:rPr>
                <w:color w:val="111111"/>
                <w:sz w:val="18"/>
                <w:szCs w:val="18"/>
              </w:rPr>
              <w:t>Corresponde casi en su totalidad al pool subcrítico mayoritario</w:t>
            </w:r>
          </w:p>
        </w:tc>
      </w:tr>
      <w:tr w:rsidR="00220889" w14:paraId="09B4C3CE"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1EC3B3" w14:textId="77777777" w:rsidR="00220889" w:rsidRDefault="00000000">
            <w:r>
              <w:rPr>
                <w:color w:val="111111"/>
                <w:sz w:val="18"/>
                <w:szCs w:val="18"/>
              </w:rPr>
              <w:t>β</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4685AB" w14:textId="77777777" w:rsidR="00220889" w:rsidRDefault="00000000">
            <w:pPr>
              <w:jc w:val="center"/>
            </w:pPr>
            <w:r>
              <w:rPr>
                <w:color w:val="111111"/>
                <w:sz w:val="18"/>
                <w:szCs w:val="18"/>
              </w:rPr>
              <w:t>8.795</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082AA37" w14:textId="77777777" w:rsidR="00220889" w:rsidRDefault="00000000">
            <w:r>
              <w:rPr>
                <w:color w:val="111111"/>
                <w:sz w:val="18"/>
                <w:szCs w:val="18"/>
              </w:rPr>
              <w:t>→ C2 (57 %), C3 (19 %)</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C8E98D" w14:textId="77777777" w:rsidR="00220889" w:rsidRDefault="00000000">
            <w:r>
              <w:rPr>
                <w:color w:val="111111"/>
                <w:sz w:val="18"/>
                <w:szCs w:val="18"/>
              </w:rPr>
              <w:t>EDOs leve-moderados con variabilidad de forma</w:t>
            </w:r>
          </w:p>
        </w:tc>
      </w:tr>
      <w:tr w:rsidR="00220889" w14:paraId="408A8E31"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6C879CB" w14:textId="77777777" w:rsidR="00220889" w:rsidRDefault="00000000">
            <w:r>
              <w:rPr>
                <w:color w:val="111111"/>
                <w:sz w:val="18"/>
                <w:szCs w:val="18"/>
              </w:rPr>
              <w:t>γ</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3F55749" w14:textId="77777777" w:rsidR="00220889" w:rsidRDefault="00000000">
            <w:pPr>
              <w:jc w:val="center"/>
            </w:pPr>
            <w:r>
              <w:rPr>
                <w:color w:val="111111"/>
                <w:sz w:val="18"/>
                <w:szCs w:val="18"/>
              </w:rPr>
              <w:t>2.892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6224CA1" w14:textId="77777777" w:rsidR="00220889" w:rsidRDefault="00000000">
            <w:r>
              <w:rPr>
                <w:color w:val="111111"/>
                <w:sz w:val="18"/>
                <w:szCs w:val="18"/>
              </w:rPr>
              <w:t>→ C4 (36 %), C5 (26 %), C3 (33 %)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E2B6C6" w14:textId="77777777" w:rsidR="00220889" w:rsidRDefault="00000000">
            <w:r>
              <w:rPr>
                <w:color w:val="111111"/>
                <w:sz w:val="18"/>
                <w:szCs w:val="18"/>
              </w:rPr>
              <w:t>Concentra los eventos más severos — mayor carga hipóxica acumulada</w:t>
            </w:r>
          </w:p>
        </w:tc>
      </w:tr>
      <w:tr w:rsidR="00220889" w14:paraId="4FD4F954"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7DB37D" w14:textId="77777777" w:rsidR="00220889" w:rsidRDefault="00000000">
            <w:r>
              <w:rPr>
                <w:color w:val="111111"/>
                <w:sz w:val="18"/>
                <w:szCs w:val="18"/>
              </w:rPr>
              <w:t>δ</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75B730A" w14:textId="77777777" w:rsidR="00220889" w:rsidRDefault="00000000">
            <w:pPr>
              <w:jc w:val="center"/>
            </w:pPr>
            <w:r>
              <w:rPr>
                <w:color w:val="111111"/>
                <w:sz w:val="18"/>
                <w:szCs w:val="18"/>
              </w:rPr>
              <w:t>18.876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A591C0C" w14:textId="77777777" w:rsidR="00220889" w:rsidRDefault="00000000">
            <w:r>
              <w:rPr>
                <w:color w:val="111111"/>
                <w:sz w:val="18"/>
                <w:szCs w:val="18"/>
              </w:rPr>
              <w:t>→ C1 mayoritario + C2</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795FB42" w14:textId="77777777" w:rsidR="00220889" w:rsidRDefault="00000000">
            <w:r>
              <w:rPr>
                <w:color w:val="111111"/>
                <w:sz w:val="18"/>
                <w:szCs w:val="18"/>
              </w:rPr>
              <w:t>Pool heterogéneo sin correspondencia morfológica limpia</w:t>
            </w:r>
          </w:p>
        </w:tc>
      </w:tr>
    </w:tbl>
    <w:p w14:paraId="386DEA00" w14:textId="77777777" w:rsidR="00220889" w:rsidRDefault="00000000">
      <w:pPr>
        <w:spacing w:before="60" w:after="200"/>
        <w:jc w:val="center"/>
      </w:pPr>
      <w:r>
        <w:rPr>
          <w:i/>
          <w:iCs/>
          <w:color w:val="444444"/>
          <w:sz w:val="18"/>
          <w:szCs w:val="18"/>
        </w:rPr>
        <w:t>Nota. Los porcentajes en la columna de alineación principal indican la fracción de eventos del morfotipo rule-based que pertenecen al morfotipo de curva indicado. Los N de α, β y γ provienen del Maestro de análisis (NB01). El N de δ (18.876) se calculó como residuo (85.277 − 54.714 − 8.795 − 2.892) dado que el valor reportado en el Maestro (60.878) excedería el corpus in_quality total; requiere verificación en el pipeline.</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Algo más estable que C3 pese a menor prevalencia media</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6D5AF354" w14:textId="77777777" w:rsidR="00220889"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23AE22BA" w14:textId="77777777" w:rsidR="00220889"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A76F97B" w14:textId="77777777" w:rsidR="00220889" w:rsidRDefault="00000000">
      <w:pPr>
        <w:spacing w:before="80" w:after="40"/>
        <w:jc w:val="center"/>
      </w:pPr>
      <w:r>
        <w:rPr>
          <w:noProof/>
        </w:rPr>
        <w:drawing>
          <wp:inline distT="0" distB="0" distL="0" distR="0" wp14:anchorId="1ED5E661" wp14:editId="0EF3E3D1">
            <wp:extent cx="4191000" cy="1276350"/>
            <wp:effectExtent l="0" t="0" r="0" b="0"/>
            <wp:docPr id="617130267" name="Imagen 61713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714DE18F" w14:textId="77777777" w:rsidR="00220889"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2A5ADAE3" w14:textId="77777777" w:rsidR="00220889" w:rsidRDefault="00220889">
      <w:pPr>
        <w:spacing w:after="80"/>
      </w:pPr>
    </w:p>
    <w:p w14:paraId="7A8C03F0" w14:textId="77777777" w:rsidR="00220889" w:rsidRDefault="00000000">
      <w:pPr>
        <w:pStyle w:val="Ttulo2"/>
        <w:spacing w:before="300"/>
      </w:pPr>
      <w:r>
        <w:t>4.5  Validación de reproducibilidad multi-noche</w:t>
      </w:r>
    </w:p>
    <w:p w14:paraId="68800758" w14:textId="77777777" w:rsidR="00220889" w:rsidRDefault="00000000">
      <w:pPr>
        <w:spacing w:after="160" w:line="276" w:lineRule="auto"/>
        <w:jc w:val="both"/>
      </w:pPr>
      <w:r>
        <w:t xml:space="preserve">El ODI3 exhibe una variabilidad noche-a-noche que puede alcanzar el 30–50 % entre noches consecutivas del mismo paciente (Bittencourt et al., 2001; Levendowski et al., 2009). Esta inestabilidad sugiere que el estudio de una sola noche —esquema diagnóstico habitual— captura parcialmente el fenotipo del paciente, lo que otorga relevancia adicional a las métricas derivadas del pipeline cuando se evalúa su propia estabilidad multi-noche. Para cuantificarla, se construyeron curvas de estabilización mediante</w:t>
      </w:r>
      <w:r>
        <w:rPr>
          <w:i/>
          <w:iCs/>
        </w:rPr>
        <w:t>bootstrapping</w:t>
      </w:r>
      <w:r>
        <w:t xml:space="preserve"> (300 iteraciones por paciente) con ventanas acumulativas de 1 a 14 noches.</w:t>
      </w:r>
    </w:p>
    <w:p w14:paraId="12A6B03C" w14:textId="77777777" w:rsidR="00220889" w:rsidRDefault="00000000">
      <w:pPr>
        <w:pStyle w:val="Ttulo3"/>
      </w:pPr>
      <w:r>
        <w:t>4.5.1  Estabilización del ODI3 con el número de noches</w:t>
      </w:r>
    </w:p>
    <w:p w14:paraId="1FC3AB8A" w14:textId="77777777" w:rsidR="00220889"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1C435013" w14:textId="77777777" w:rsidR="00220889"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5D63A9A4" w14:textId="77777777" w:rsidR="00220889" w:rsidRDefault="00000000">
      <w:pPr>
        <w:spacing w:before="80" w:after="40"/>
        <w:jc w:val="center"/>
      </w:pPr>
      <w:r>
        <w:rPr>
          <w:noProof/>
        </w:rPr>
        <w:drawing>
          <wp:inline distT="0" distB="0" distL="0" distR="0" wp14:anchorId="3D7794D4" wp14:editId="2F9562EE">
            <wp:extent cx="4191000" cy="1495425"/>
            <wp:effectExtent l="0" t="0" r="0" b="0"/>
            <wp:docPr id="1638237994" name="Imagen 16382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536FDB85" w14:textId="77777777" w:rsidR="00220889" w:rsidRDefault="00000000">
      <w:pPr>
        <w:spacing w:before="20" w:after="200"/>
        <w:jc w:val="center"/>
      </w:pPr>
      <w:r>
        <w:rPr>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w:t>
        <w:lastRenderedPageBreak/>
        <w:t>MAE = 2 ev/h, alcanzado aproximadamente a partir de 4 noches. (B) ICC(1,1) vs número de noches; los valores crecen desde 0,70 (1 noche) hasta 0,98 (14 noches).</w:t>
      </w: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14:paraId="2E24847D" w14:textId="77777777" w:rsidR="00220889"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9FB82E1" w14:textId="77777777" w:rsidR="00220889" w:rsidRDefault="00220889">
      <w:pPr>
        <w:spacing w:after="80"/>
      </w:pPr>
    </w:p>
    <w:p w14:paraId="50D8D8EA" w14:textId="77777777" w:rsidR="00220889" w:rsidRDefault="00220889">
      <w:pPr>
        <w:spacing w:after="60"/>
      </w:pPr>
    </w:p>
    <w:p w14:paraId="2A06676B" w14:textId="77777777" w:rsidR="00220889" w:rsidRDefault="00000000">
      <w:pPr>
        <w:spacing w:before="60" w:after="40"/>
        <w:jc w:val="center"/>
      </w:pPr>
      <w:r>
        <w:rPr>
          <w:b/>
          <w:bCs/>
          <w:color w:val="333333"/>
          <w:sz w:val="18"/>
          <w:szCs w:val="18"/>
        </w:rPr>
        <w:t>Figura 4.7. Validación multi-noche del ARI: MAE bootstrap y análisis de concordancia Bland-Altman.</w:t>
      </w:r>
    </w:p>
    <w:p w14:paraId="52BA489D" w14:textId="77777777" w:rsidR="00220889" w:rsidRDefault="00000000">
      <w:pPr>
        <w:spacing w:before="80" w:after="40"/>
        <w:jc w:val="center"/>
      </w:pPr>
      <w:r>
        <w:rPr>
          <w:noProof/>
        </w:rPr>
        <w:drawing>
          <wp:inline distT="0" distB="0" distL="0" distR="0" wp14:anchorId="11011D1B" wp14:editId="72C643B6">
            <wp:extent cx="4191000" cy="1495425"/>
            <wp:effectExtent l="0" t="0" r="0" b="0"/>
            <wp:docPr id="1081949402" name="Imagen 108194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4F809995" w14:textId="77777777" w:rsidR="00220889"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p w14:paraId="3C6029A2" w14:textId="77777777" w:rsidR="00220889" w:rsidRDefault="00000000">
      <w:pPr>
        <w:pStyle w:val="Ttulo2"/>
        <w:spacing w:before="300"/>
      </w:pPr>
      <w:r>
        <w:lastRenderedPageBreak/>
        <w:t>Referencias</w:t>
      </w:r>
    </w:p>
    <w:p w14:paraId="502A0637" w14:textId="77777777" w:rsidR="00220889"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773D4810" w14:textId="77777777" w:rsidR="00220889"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05029716" w14:textId="77777777" w:rsidR="00220889"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4F6AD17A" w14:textId="77777777" w:rsidR="00220889"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4FF30EC9" w14:textId="77777777" w:rsidR="00220889"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3A8B0A37" w14:textId="77777777" w:rsidR="00220889"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0313A79E" w14:textId="77777777" w:rsidR="00220889"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2411FE64" w14:textId="77777777" w:rsidR="00220889"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6158F953" w14:textId="77777777" w:rsidR="00220889"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2D61E26F" w14:textId="77777777" w:rsidR="00220889"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F388AC7" w14:textId="77777777" w:rsidR="00220889"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