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15  ·  Mayo 2026</w:t>
      </w:r>
    </w:p>
    <w:p w14:paraId="16A8E69A" w14:textId="05F8E6E3" w:rsidR="00A71A2A" w:rsidRPr="00A71A2A" w:rsidRDefault="00A71A2A" w:rsidP="00A71A2A">
      <w:pPr>
        <w:pStyle w:val="font-claude-response-body"/>
        <w:spacing w:line="276" w:lineRule="auto"/>
        <w:jc w:val="both"/>
        <w:rPr>
          <w:rFonts w:ascii="Arial" w:hAnsi="Arial" w:cs="Arial"/>
        </w:rPr>
      </w:pPr>
      <w:r>
        <w:rPr>
          <w:rFonts w:ascii="Arial" w:hAnsi="Arial" w:cs="Arial"/>
        </w:rPr>
        <w:t xml:space="preserve">El análisis clínico del SAOS condensa la noche en índices escalares: el ODI3 expresa cuántos eventos de desaturación ocurrieron por hora, pero no distingue su forma ni la respuesta autonómica que generaron. Este capítulo invierte esa dirección: en lugar de agregar eventos en un índice, los descompone individualmente. Los resultados provienen de dos análisis del pipeline </w:t>
      </w:r>
      <w:r>
        <w:rPr>
          <w:rFonts w:ascii="Arial" w:hAnsi="Arial" w:cs="Arial"/>
          <w:b/>
          <w:bCs/>
        </w:rPr>
        <w:t>PAC_v3</w:t>
      </w:r>
      <w:r>
        <w:rPr>
          <w:rFonts w:ascii="Arial" w:hAnsi="Arial" w:cs="Arial"/>
        </w:rPr>
        <w:t xml:space="preserve">. </w:t>
      </w:r>
      <w:r>
        <w:rPr>
          <w:rStyle w:val="Fuerte"/>
          <w:rFonts w:ascii="Arial" w:hAnsi="Arial" w:cs="Arial"/>
        </w:rPr>
        <w:t>NB01</w:t>
      </w:r>
      <w:r>
        <w:rPr>
          <w:rFonts w:ascii="Arial" w:hAnsi="Arial" w:cs="Arial"/>
        </w:rPr>
        <w:t xml:space="preserve"> aplica PCA y K-means sobre las 84.248 curvas de SpO</w:t>
      </w:r>
      <w:r>
        <w:rPr>
          <w:rFonts w:ascii="Cambria Math" w:hAnsi="Cambria Math" w:cs="Cambria Math"/>
        </w:rPr>
        <w:t>₂</w:t>
      </w:r>
      <w:r>
        <w:rPr>
          <w:rFonts w:ascii="Arial" w:hAnsi="Arial" w:cs="Arial"/>
        </w:rPr>
        <w:t xml:space="preserve"> normalizadas (30 puntos por evento) </w:t>
      </w:r>
      <w:r>
        <w:rPr>
          <w:rStyle w:val="nfasis"/>
          <w:rFonts w:ascii="Arial" w:hAnsi="Arial" w:cs="Arial"/>
        </w:rPr>
        <w:t>K</w:t>
      </w:r>
      <w:r>
        <w:rPr>
          <w:rFonts w:ascii="Arial" w:hAnsi="Arial" w:cs="Arial"/>
        </w:rPr>
        <w:t xml:space="preserve">para identificar cinco morfotipos (C1–C5) que capturan dimensiones de la desaturación que el recuento de frecuencia no registra. </w:t>
      </w:r>
      <w:r>
        <w:rPr>
          <w:rStyle w:val="Fuerte"/>
          <w:rFonts w:ascii="Arial" w:hAnsi="Arial" w:cs="Arial"/>
        </w:rPr>
        <w:t>NB02</w:t>
      </w:r>
      <w:r>
        <w:rPr>
          <w:rFonts w:ascii="Arial" w:hAnsi="Arial" w:cs="Arial"/>
        </w:rPr>
        <w:t xml:space="preserve"> introduce el ARI como segunda dimensión —de reactividad autonómica, no de severidad— y muestra que sería prácticamente independiente de los índices clásicos.</w:t>
      </w:r>
    </w:p>
    <w:p w14:paraId="435871DB" w14:textId="68B6296C" w:rsidR="00220889" w:rsidRPr="00A71A2A" w:rsidRDefault="00A71A2A" w:rsidP="00A71A2A">
      <w:pPr>
        <w:pStyle w:val="font-claude-response-body"/>
        <w:spacing w:line="276" w:lineRule="auto"/>
        <w:jc w:val="both"/>
        <w:rPr>
          <w:rFonts w:ascii="Arial" w:hAnsi="Arial" w:cs="Arial"/>
        </w:rPr>
      </w:pPr>
      <w:r>
        <w:rPr>
          <w:rFonts w:ascii="Arial" w:hAnsi="Arial" w:cs="Arial"/>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Style w:val="nfasis"/>
          <w:rFonts w:ascii="Arial" w:hAnsi="Arial" w:cs="Arial"/>
        </w:rPr>
        <w:t>K</w:t>
      </w:r>
      <w:r>
        <w:rPr>
          <w:rFonts w:ascii="Arial" w:hAnsi="Arial" w:cs="Arial"/>
        </w:rPr>
        <w:t>-means sobre el corpus completo, y el cálculo del Índice de Reactividad Autonómica (ARI). El presente capítulo expone los resultados de esa caracterización: los cinco morfotipos de curva SpO</w:t>
      </w:r>
      <w:r>
        <w:rPr>
          <w:rFonts w:ascii="Cambria Math" w:hAnsi="Cambria Math" w:cs="Cambria Math"/>
        </w:rPr>
        <w:t>₂</w:t>
      </w:r>
      <w:r>
        <w:rPr>
          <w:rFonts w:ascii="Arial" w:hAnsi="Arial" w:cs="Arial"/>
        </w:rPr>
        <w:t xml:space="preserve"> (C1–C5), sus propiedades morfológicas y autonómicas, el diagnóstico del índice de reactividad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Style w:val="nfasis"/>
          <w:rFonts w:ascii="Arial" w:hAnsi="Arial" w:cs="Arial"/>
        </w:rPr>
        <w:t>features</w:t>
      </w:r>
      <w:r>
        <w:rPr>
          <w:rFonts w:ascii="Arial" w:hAnsi="Arial" w:cs="Arial"/>
        </w:rPr>
        <w:t xml:space="preserve"> nocturnas que se desarrolla en el Capítulo 5.</w:t>
      </w:r>
    </w:p>
    <w:p w14:paraId="11117FFD" w14:textId="77777777" w:rsidR="00A71A2A" w:rsidRDefault="00A71A2A" w:rsidP="00A71A2A">
      <w:pPr>
        <w:pStyle w:val="font-claude-response-body"/>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§3.2.1.</w:t>
      </w:r>
    </w:p>
    <w:p w14:paraId="40A0216A" w14:textId="77777777" w:rsidR="00220889"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—calculado a nivel de noche (N = 560)— fue de 17,9 ± 14,1 ev/h (mediana: 14,6 ev/h), consistente con una cohorte de riesgo moderado. El ODI3 a nivel de paciente (promedio de noches por paciente, n = 12) fue de 19,2 ± 15,8 ev/h. Esta clasificación expresa cuántos eventos ocurrieron, pero no su forma: dos pacientes con ODI3 idéntico pueden presentar perfiles morfológicos marcadamente distintos, lo que motiva el análisis que sigue.</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1562771496"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339978A3" w14:textId="77777777" w:rsidR="00220889" w:rsidRDefault="00000000">
      <w:pPr>
        <w:spacing w:before="60" w:after="40"/>
        <w:jc w:val="center"/>
      </w:pPr>
      <w:r>
        <w:rPr>
          <w:b/>
          <w:bCs/>
          <w:color w:val="333333"/>
          <w:sz w:val="18"/>
          <w:szCs w:val="18"/>
        </w:rPr>
        <w:t>Figura 4.3. Perfiles de frecuencia cardíaca (FC, fila A) y movimiento (MOV, fila B) por morfotipo C1–C5.</w:t>
      </w:r>
    </w:p>
    <w:p w14:paraId="21B5D684" w14:textId="77777777" w:rsidR="00220889" w:rsidRDefault="00000000">
      <w:pPr>
        <w:spacing w:before="80" w:after="40"/>
        <w:jc w:val="center"/>
      </w:pPr>
      <w:r>
        <w:rPr>
          <w:noProof/>
        </w:rPr>
        <w:lastRenderedPageBreak/>
        <w:drawing>
          <wp:inline distT="0" distB="0" distL="0" distR="0" wp14:anchorId="10DA2393" wp14:editId="1B938716">
            <wp:extent cx="4191000" cy="1657350"/>
            <wp:effectExtent l="0" t="0" r="0" b="0"/>
            <wp:docPr id="76259221" name="Imagen 762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657350"/>
                    </a:xfrm>
                    <a:prstGeom prst="rect">
                      <a:avLst/>
                    </a:prstGeom>
                  </pic:spPr>
                </pic:pic>
              </a:graphicData>
            </a:graphic>
          </wp:inline>
        </w:drawing>
      </w:r>
    </w:p>
    <w:p w14:paraId="57F33C80" w14:textId="77777777" w:rsidR="00220889"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0E83F1A2" w14:textId="77777777" w:rsidR="00220889" w:rsidRDefault="00000000">
      <w:pPr>
        <w:pStyle w:val="Ttulo3"/>
      </w:pPr>
      <w:r>
        <w:t>4.2.4  Intervalo inter-evento</w:t>
      </w:r>
    </w:p>
    <w:p w14:paraId="76D99F00" w14:textId="77777777" w:rsidR="00220889" w:rsidRDefault="00000000">
      <w:pPr>
        <w:spacing w:after="160" w:line="276" w:lineRule="auto"/>
        <w:jc w:val="both"/>
      </w:pPr>
      <w:r>
        <w:t xml:space="preserve">El intervalo inter-evento (IEI) mediano fue de 82 segundos, con el 62,8 % de los pares consecutivos separados por menos de 2 minutos. Esta distribución es consistente con la descripción de </w:t>
      </w:r>
      <w:r>
        <w:rPr>
          <w:i/>
          <w:iCs/>
        </w:rPr>
        <w:t>trenes apneicos</w:t>
      </w:r>
      <w: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14:paraId="1A2B3C01" w14:textId="77777777" w:rsidR="00220889" w:rsidRDefault="00000000">
      <w:pPr>
        <w:spacing w:after="160" w:line="276" w:lineRule="auto"/>
        <w:jc w:val="both"/>
      </w:pPr>
      <w:r>
        <w:t xml:space="preserve">El IEI mediano de 82 s tiene además una implicación metodológica no trivial para el sistema de clasificación morfológica: cuando dos eventos están separados por un intervalo menor que la ventana de baseline (120 s), la baseline local del segundo evento ya se encuentra descendida respecto al nivel de reposo real del paciente. En consecuencia, la caída relativa del segundo evento queda subestimada y tiende a clasificarse como C1 o C2, aunque en términos absolutos el paciente continúe hipóxico. Este fenómeno de </w:t>
      </w:r>
      <w:r>
        <w:rPr>
          <w:i/>
          <w:iCs/>
        </w:rPr>
        <w:t>fragmentación de eventos</w:t>
      </w:r>
      <w:r>
        <w:t xml:space="preserve"> introduce dos sesgos sistemáticos: (a) el ODI sobreestima el número de eventos independientes —lo que fisiológicamente puede ser un episodio único prolongado queda registrado como dos o más eventos cortos—; y (b) el ARI de los eventos C1/C2 post-severos puede ser artificialmente bajo, dado que el sistema autónomo ya «gastó» parte de su respuesta en el evento precedente. La </w:t>
      </w:r>
      <w:r>
        <w:rPr>
          <w:i/>
          <w:iCs/>
        </w:rPr>
        <w:t>hypoxic burden</w:t>
      </w:r>
      <w:r>
        <w:t xml:space="preserve"> (área bajo la curva SpO₂) resulta más robusta que el ODI ante este tipo de fragmentación, al integrar la carga hipóxica real con independencia de cómo el algoritmo divida los episodios. Este fenómeno es identificable automáticamente buscando pares en que un evento C1/C2 ocurre dentro de los 90 s posteriores al fin de un evento C3, C4 o C5, y ha sido implementado como alerta interpretativa en la aplicación de visualización (Capítulo 7). Este fenómeno tiene además un correlato en el modelo predictivo de nivel evento: dado que los fragmentos consecutivos comparten prácticamente el mismo estado PAC activo (el contexto fisiológico no cambia entre eventos separados por menos de 90 s), el modelo LightGBM asigna una P(severo) alta a cada uno de ellos aunque su morfotipo individual sea C1 o C2. Un clúster denso de barras altas en morfotipos leves en el gráfico P(severo) de la aplicación es, por lo tanto, la firma predictiva de un episodio prolongado fragmentado más que la de múltiples eventos independientes de riesgo contextual oculto. La interpretación de este patrón se desarrolla en el análisis del modelo de predicción de eventos severos (§6.9).</w:t>
      </w:r>
    </w:p>
    <w:p w14:paraId="15B5CA53" w14:textId="77777777" w:rsidR="00220889" w:rsidRDefault="00000000">
      <w:pPr>
        <w:pStyle w:val="Ttulo3"/>
      </w:pPr>
      <w:r>
        <w:t>4.2.5  Correspondencia con morfotipos escalares (α–κ)</w:t>
      </w:r>
    </w:p>
    <w:p w14:paraId="1C250001" w14:textId="77777777" w:rsidR="00220889"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escalar (α–κ, K = 10, construido sobre 10 </w:t>
      </w:r>
      <w:r>
        <w:rPr>
          <w:i/>
          <w:iCs/>
        </w:rPr>
        <w:t>features</w:t>
      </w:r>
      <w:r>
        <w:t xml:space="preserve"> morfológicas escalares más el IRD). El sistema escalar fue entrenado independientemente sobre el corpus completo de EDOs (K = 10, seleccionado por máximo Silhouette). La Tabla 4.3 muestra la correspondencia entre ambos sistemas, verificada sobre el pipeline actual (gold/events.parquet). El hallazgo central es que el sistema escalar concentra los eventos severos en tres morfotipos de alta pureza: δ (C4+C5 = 94,7 %), θ (71,1 %) e ι (68,2 %), mientras que β —el morfotipo más prevalente (60,8 % del corpus)— se corresponde casi exclusivamente con C1 (87,4 %). Esta convergencia entre sistemas de distinto diseño sobre los mismos datos refuerza la validez de los morfotipos de curva C1–C5 como referencia para los análisis de severidad en los capítulos siguientes.</w:t>
      </w:r>
    </w:p>
    <w:p w14:paraId="1C250002" w14:textId="77777777" w:rsidR="00220889" w:rsidRDefault="00220889">
      <w:pPr>
        <w:spacing w:after="80"/>
      </w:pPr>
    </w:p>
    <w:p w14:paraId="1C250003" w14:textId="77777777" w:rsidR="00220889" w:rsidRDefault="00000000">
      <w:pPr>
        <w:spacing w:before="80" w:after="80"/>
        <w:jc w:val="center"/>
      </w:pPr>
      <w:r>
        <w:rPr>
          <w:b/>
          <w:bCs/>
          <w:sz w:val="18"/>
          <w:szCs w:val="18"/>
        </w:rPr>
        <w:t>Tabla 4.3. Correspondencia entre morfotipos escalares (α–κ, K = 10) y morfotipos de curva (C1–C5).</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00" w:type="dxa"/>
          <w:bottom w:w="60" w:type="dxa"/>
          <w:right w:w="100" w:type="dxa"/>
        </w:tblCellMar>
        <w:tblLook w:val="04A0" w:firstRow="1" w:lastRow="0" w:firstColumn="1" w:lastColumn="0" w:noHBand="0" w:noVBand="1"/>
      </w:tblPr>
      <w:tblGrid>
        <w:gridCol w:w="700"/>
        <w:gridCol w:w="1200"/>
        <w:gridCol w:w="1000"/>
        <w:gridCol w:w="1600"/>
        <w:gridCol w:w="4526"/>
      </w:tblGrid>
      <w:tr>
        <w:trPr>
          <w:tblHeader/>
        </w:trPr>
        <w:tc>
          <w:tcPr>
            <w:tcW w:w="700" w:type="dxa"/>
            <w:shd w:val="clear" w:fill="D5E8F0"/>
          </w:tcPr>
          <w:p>
            <w:pPr>
              <w:jc w:val="center"/>
            </w:pPr>
            <w:r>
              <w:rPr>
                <w:b/>
                <w:bCs/>
                <w:color w:val="1E3A5F"/>
                <w:sz w:val="18"/>
                <w:szCs w:val="18"/>
              </w:rPr>
              <w:t>Morf.</w:t>
            </w:r>
          </w:p>
        </w:tc>
        <w:tc>
          <w:tcPr>
            <w:tcW w:w="1200" w:type="dxa"/>
            <w:shd w:val="clear" w:fill="D5E8F0"/>
          </w:tcPr>
          <w:p>
            <w:pPr>
              <w:jc w:val="center"/>
            </w:pPr>
            <w:r>
              <w:rPr>
                <w:b/>
                <w:bCs/>
                <w:color w:val="1E3A5F"/>
                <w:sz w:val="18"/>
                <w:szCs w:val="18"/>
              </w:rPr>
              <w:t>N eventos</w:t>
            </w:r>
          </w:p>
        </w:tc>
        <w:tc>
          <w:tcPr>
            <w:tcW w:w="1000" w:type="dxa"/>
            <w:shd w:val="clear" w:fill="D5E8F0"/>
          </w:tcPr>
          <w:p>
            <w:pPr>
              <w:jc w:val="center"/>
            </w:pPr>
            <w:r>
              <w:rPr>
                <w:b/>
                <w:bCs/>
                <w:color w:val="1E3A5F"/>
                <w:sz w:val="18"/>
                <w:szCs w:val="18"/>
              </w:rPr>
              <w:t>C4+C5 (%)</w:t>
            </w:r>
          </w:p>
        </w:tc>
        <w:tc>
          <w:tcPr>
            <w:tcW w:w="1600" w:type="dxa"/>
            <w:shd w:val="clear" w:fill="D5E8F0"/>
          </w:tcPr>
          <w:p>
            <w:pPr>
              <w:jc w:val="center"/>
            </w:pPr>
            <w:r>
              <w:rPr>
                <w:b/>
                <w:bCs/>
                <w:color w:val="1E3A5F"/>
                <w:sz w:val="18"/>
                <w:szCs w:val="18"/>
              </w:rPr>
              <w:t>Alineación principal</w:t>
            </w:r>
          </w:p>
        </w:tc>
        <w:tc>
          <w:tcPr>
            <w:tcW w:w="4526" w:type="dxa"/>
            <w:shd w:val="clear" w:fill="D5E8F0"/>
          </w:tcPr>
          <w:p>
            <w:pPr>
              <w:jc w:val="center"/>
            </w:pPr>
            <w:r>
              <w:rPr>
                <w:b/>
                <w:bCs/>
                <w:color w:val="1E3A5F"/>
                <w:sz w:val="18"/>
                <w:szCs w:val="18"/>
              </w:rPr>
              <w:t>Perfil</w:t>
            </w:r>
          </w:p>
        </w:tc>
      </w:tr>
      <w:tr>
        <w:tc>
          <w:tcPr>
            <w:tcW w:w="700" w:type="dxa"/>
          </w:tcPr>
          <w:p>
            <w:pPr>
              <w:jc w:val="center"/>
            </w:pPr>
            <w:r>
              <w:rPr>
                <w:sz w:val="18"/>
                <w:szCs w:val="18"/>
              </w:rPr>
              <w:t>β</w:t>
            </w:r>
          </w:p>
        </w:tc>
        <w:tc>
          <w:tcPr>
            <w:tcW w:w="1200" w:type="dxa"/>
          </w:tcPr>
          <w:p>
            <w:pPr>
              <w:jc w:val="center"/>
            </w:pPr>
            <w:r>
              <w:rPr>
                <w:sz w:val="18"/>
                <w:szCs w:val="18"/>
              </w:rPr>
              <w:t>51.801</w:t>
            </w:r>
          </w:p>
        </w:tc>
        <w:tc>
          <w:tcPr>
            <w:tcW w:w="1000" w:type="dxa"/>
          </w:tcPr>
          <w:p>
            <w:pPr>
              <w:jc w:val="center"/>
            </w:pPr>
            <w:r>
              <w:rPr>
                <w:sz w:val="18"/>
                <w:szCs w:val="18"/>
              </w:rPr>
              <w:t>0,0 %</w:t>
            </w:r>
          </w:p>
        </w:tc>
        <w:tc>
          <w:tcPr>
            <w:tcW w:w="1600" w:type="dxa"/>
          </w:tcPr>
          <w:p>
            <w:pPr>
              <w:jc w:val="center"/>
            </w:pPr>
            <w:r>
              <w:rPr>
                <w:sz w:val="18"/>
                <w:szCs w:val="18"/>
              </w:rPr>
              <w:t>→ C1 (87,4 %)</w:t>
            </w:r>
          </w:p>
        </w:tc>
        <w:tc>
          <w:tcPr>
            <w:tcW w:w="4526" w:type="dxa"/>
          </w:tcPr>
          <w:p>
            <w:r>
              <w:rPr>
                <w:sz w:val="18"/>
                <w:szCs w:val="18"/>
              </w:rPr>
              <w:t>Dominante subcrítico — 60,8 % del corpus</w:t>
            </w:r>
          </w:p>
        </w:tc>
      </w:tr>
      <w:tr>
        <w:tc>
          <w:tcPr>
            <w:tcW w:w="700" w:type="dxa"/>
          </w:tcPr>
          <w:p>
            <w:pPr>
              <w:jc w:val="center"/>
            </w:pPr>
            <w:r>
              <w:rPr>
                <w:sz w:val="18"/>
                <w:szCs w:val="18"/>
              </w:rPr>
              <w:t>γ</w:t>
            </w:r>
          </w:p>
        </w:tc>
        <w:tc>
          <w:tcPr>
            <w:tcW w:w="1200" w:type="dxa"/>
          </w:tcPr>
          <w:p>
            <w:pPr>
              <w:jc w:val="center"/>
            </w:pPr>
            <w:r>
              <w:rPr>
                <w:sz w:val="18"/>
                <w:szCs w:val="18"/>
              </w:rPr>
              <w:t>8.590</w:t>
            </w:r>
          </w:p>
        </w:tc>
        <w:tc>
          <w:tcPr>
            <w:tcW w:w="1000" w:type="dxa"/>
          </w:tcPr>
          <w:p>
            <w:pPr>
              <w:jc w:val="center"/>
            </w:pPr>
            <w:r>
              <w:rPr>
                <w:sz w:val="18"/>
                <w:szCs w:val="18"/>
              </w:rPr>
              <w:t>1,0 %</w:t>
            </w:r>
          </w:p>
        </w:tc>
        <w:tc>
          <w:tcPr>
            <w:tcW w:w="1600" w:type="dxa"/>
          </w:tcPr>
          <w:p>
            <w:pPr>
              <w:jc w:val="center"/>
            </w:pPr>
            <w:r>
              <w:rPr>
                <w:sz w:val="18"/>
                <w:szCs w:val="18"/>
              </w:rPr>
              <w:t>→ C1 (61,7 %), C2 (34,8 %)</w:t>
            </w:r>
          </w:p>
        </w:tc>
        <w:tc>
          <w:tcPr>
            <w:tcW w:w="4526" w:type="dxa"/>
          </w:tcPr>
          <w:p>
            <w:r>
              <w:rPr>
                <w:sz w:val="18"/>
                <w:szCs w:val="18"/>
              </w:rPr>
              <w:t>C1/C2 mixto — baja carga hipóxica</w:t>
            </w:r>
          </w:p>
        </w:tc>
      </w:tr>
      <w:tr>
        <w:tc>
          <w:tcPr>
            <w:tcW w:w="700" w:type="dxa"/>
          </w:tcPr>
          <w:p>
            <w:pPr>
              <w:jc w:val="center"/>
            </w:pPr>
            <w:r>
              <w:rPr>
                <w:sz w:val="18"/>
                <w:szCs w:val="18"/>
              </w:rPr>
              <w:t>η</w:t>
            </w:r>
          </w:p>
        </w:tc>
        <w:tc>
          <w:tcPr>
            <w:tcW w:w="1200" w:type="dxa"/>
          </w:tcPr>
          <w:p>
            <w:pPr>
              <w:jc w:val="center"/>
            </w:pPr>
            <w:r>
              <w:rPr>
                <w:sz w:val="18"/>
                <w:szCs w:val="18"/>
              </w:rPr>
              <w:t>7.286</w:t>
            </w:r>
          </w:p>
        </w:tc>
        <w:tc>
          <w:tcPr>
            <w:tcW w:w="1000" w:type="dxa"/>
          </w:tcPr>
          <w:p>
            <w:pPr>
              <w:jc w:val="center"/>
            </w:pPr>
            <w:r>
              <w:rPr>
                <w:sz w:val="18"/>
                <w:szCs w:val="18"/>
              </w:rPr>
              <w:t>1,2 %</w:t>
            </w:r>
          </w:p>
        </w:tc>
        <w:tc>
          <w:tcPr>
            <w:tcW w:w="1600" w:type="dxa"/>
          </w:tcPr>
          <w:p>
            <w:pPr>
              <w:jc w:val="center"/>
            </w:pPr>
            <w:r>
              <w:rPr>
                <w:sz w:val="18"/>
                <w:szCs w:val="18"/>
              </w:rPr>
              <w:t>→ C2 (58,6 %), C1 (35,6 %)</w:t>
            </w:r>
          </w:p>
        </w:tc>
        <w:tc>
          <w:tcPr>
            <w:tcW w:w="4526" w:type="dxa"/>
          </w:tcPr>
          <w:p>
            <w:r>
              <w:rPr>
                <w:sz w:val="18"/>
                <w:szCs w:val="18"/>
              </w:rPr>
              <w:t>Leve-moderado con buena recuperación</w:t>
            </w:r>
          </w:p>
        </w:tc>
      </w:tr>
      <w:tr>
        <w:tc>
          <w:tcPr>
            <w:tcW w:w="700" w:type="dxa"/>
          </w:tcPr>
          <w:p>
            <w:pPr>
              <w:jc w:val="center"/>
            </w:pPr>
            <w:r>
              <w:rPr>
                <w:sz w:val="18"/>
                <w:szCs w:val="18"/>
              </w:rPr>
              <w:t>κ</w:t>
            </w:r>
          </w:p>
        </w:tc>
        <w:tc>
          <w:tcPr>
            <w:tcW w:w="1200" w:type="dxa"/>
          </w:tcPr>
          <w:p>
            <w:pPr>
              <w:jc w:val="center"/>
            </w:pPr>
            <w:r>
              <w:rPr>
                <w:sz w:val="18"/>
                <w:szCs w:val="18"/>
              </w:rPr>
              <w:t>6.739</w:t>
            </w:r>
          </w:p>
        </w:tc>
        <w:tc>
          <w:tcPr>
            <w:tcW w:w="1000" w:type="dxa"/>
          </w:tcPr>
          <w:p>
            <w:pPr>
              <w:jc w:val="center"/>
            </w:pPr>
            <w:r>
              <w:rPr>
                <w:sz w:val="18"/>
                <w:szCs w:val="18"/>
              </w:rPr>
              <w:t>17,1 %</w:t>
            </w:r>
          </w:p>
        </w:tc>
        <w:tc>
          <w:tcPr>
            <w:tcW w:w="1600" w:type="dxa"/>
          </w:tcPr>
          <w:p>
            <w:pPr>
              <w:jc w:val="center"/>
            </w:pPr>
            <w:r>
              <w:rPr>
                <w:sz w:val="18"/>
                <w:szCs w:val="18"/>
              </w:rPr>
              <w:t>→ C2 (60,1 %), C4 (17,0 %)</w:t>
            </w:r>
          </w:p>
        </w:tc>
        <w:tc>
          <w:tcPr>
            <w:tcW w:w="4526" w:type="dxa"/>
          </w:tcPr>
          <w:p>
            <w:r>
              <w:rPr>
                <w:sz w:val="18"/>
                <w:szCs w:val="18"/>
              </w:rPr>
              <w:t>C2 dominante con fracción severa moderada</w:t>
            </w:r>
          </w:p>
        </w:tc>
      </w:tr>
      <w:tr>
        <w:tc>
          <w:tcPr>
            <w:tcW w:w="700" w:type="dxa"/>
          </w:tcPr>
          <w:p>
            <w:pPr>
              <w:jc w:val="center"/>
            </w:pPr>
            <w:r>
              <w:rPr>
                <w:sz w:val="18"/>
                <w:szCs w:val="18"/>
              </w:rPr>
              <w:t>α</w:t>
            </w:r>
          </w:p>
        </w:tc>
        <w:tc>
          <w:tcPr>
            <w:tcW w:w="1200" w:type="dxa"/>
          </w:tcPr>
          <w:p>
            <w:pPr>
              <w:jc w:val="center"/>
            </w:pPr>
            <w:r>
              <w:rPr>
                <w:sz w:val="18"/>
                <w:szCs w:val="18"/>
              </w:rPr>
              <w:t>4.675</w:t>
            </w:r>
          </w:p>
        </w:tc>
        <w:tc>
          <w:tcPr>
            <w:tcW w:w="1000" w:type="dxa"/>
          </w:tcPr>
          <w:p>
            <w:pPr>
              <w:jc w:val="center"/>
            </w:pPr>
            <w:r>
              <w:rPr>
                <w:sz w:val="18"/>
                <w:szCs w:val="18"/>
              </w:rPr>
              <w:t>29,1 %</w:t>
            </w:r>
          </w:p>
        </w:tc>
        <w:tc>
          <w:tcPr>
            <w:tcW w:w="1600" w:type="dxa"/>
          </w:tcPr>
          <w:p>
            <w:pPr>
              <w:jc w:val="center"/>
            </w:pPr>
            <w:r>
              <w:rPr>
                <w:sz w:val="18"/>
                <w:szCs w:val="18"/>
              </w:rPr>
              <w:t>→ C2 (37,1 %), C3 (30,1 %), C4 (28,0 %)</w:t>
            </w:r>
          </w:p>
        </w:tc>
        <w:tc>
          <w:tcPr>
            <w:tcW w:w="4526" w:type="dxa"/>
          </w:tcPr>
          <w:p>
            <w:r>
              <w:rPr>
                <w:sz w:val="18"/>
                <w:szCs w:val="18"/>
              </w:rPr>
              <w:t>Mixto severo-moderado; fronteras difusas entre C2/C3/C4</w:t>
            </w:r>
          </w:p>
        </w:tc>
      </w:tr>
      <w:tr>
        <w:tc>
          <w:tcPr>
            <w:tcW w:w="700" w:type="dxa"/>
          </w:tcPr>
          <w:p>
            <w:pPr>
              <w:jc w:val="center"/>
            </w:pPr>
            <w:r>
              <w:rPr>
                <w:sz w:val="18"/>
                <w:szCs w:val="18"/>
              </w:rPr>
              <w:t>ζ</w:t>
            </w:r>
          </w:p>
        </w:tc>
        <w:tc>
          <w:tcPr>
            <w:tcW w:w="1200" w:type="dxa"/>
          </w:tcPr>
          <w:p>
            <w:pPr>
              <w:jc w:val="center"/>
            </w:pPr>
            <w:r>
              <w:rPr>
                <w:sz w:val="18"/>
                <w:szCs w:val="18"/>
              </w:rPr>
              <w:t>3.698</w:t>
            </w:r>
          </w:p>
        </w:tc>
        <w:tc>
          <w:tcPr>
            <w:tcW w:w="1000" w:type="dxa"/>
          </w:tcPr>
          <w:p>
            <w:pPr>
              <w:jc w:val="center"/>
            </w:pPr>
            <w:r>
              <w:rPr>
                <w:sz w:val="18"/>
                <w:szCs w:val="18"/>
              </w:rPr>
              <w:t>24,0 %</w:t>
            </w:r>
          </w:p>
        </w:tc>
        <w:tc>
          <w:tcPr>
            <w:tcW w:w="1600" w:type="dxa"/>
          </w:tcPr>
          <w:p>
            <w:pPr>
              <w:jc w:val="center"/>
            </w:pPr>
            <w:r>
              <w:rPr>
                <w:sz w:val="18"/>
                <w:szCs w:val="18"/>
              </w:rPr>
              <w:t>→ C2 (46,4 %), C4 (23,1 %), C3 (21,1 %)</w:t>
            </w:r>
          </w:p>
        </w:tc>
        <w:tc>
          <w:tcPr>
            <w:tcW w:w="4526" w:type="dxa"/>
          </w:tcPr>
          <w:p>
            <w:r>
              <w:rPr>
                <w:sz w:val="18"/>
                <w:szCs w:val="18"/>
              </w:rPr>
              <w:t>Mixto moderado-severo; contribución severa relevante</w:t>
            </w:r>
          </w:p>
        </w:tc>
      </w:tr>
      <w:tr>
        <w:tc>
          <w:tcPr>
            <w:tcW w:w="700" w:type="dxa"/>
          </w:tcPr>
          <w:p>
            <w:pPr>
              <w:jc w:val="center"/>
            </w:pPr>
            <w:r>
              <w:rPr>
                <w:sz w:val="18"/>
                <w:szCs w:val="18"/>
              </w:rPr>
              <w:t>ε</w:t>
            </w:r>
          </w:p>
        </w:tc>
        <w:tc>
          <w:tcPr>
            <w:tcW w:w="1200" w:type="dxa"/>
          </w:tcPr>
          <w:p>
            <w:pPr>
              <w:jc w:val="center"/>
            </w:pPr>
            <w:r>
              <w:rPr>
                <w:sz w:val="18"/>
                <w:szCs w:val="18"/>
              </w:rPr>
              <w:t>548</w:t>
            </w:r>
          </w:p>
        </w:tc>
        <w:tc>
          <w:tcPr>
            <w:tcW w:w="1000" w:type="dxa"/>
          </w:tcPr>
          <w:p>
            <w:pPr>
              <w:jc w:val="center"/>
            </w:pPr>
            <w:r>
              <w:rPr>
                <w:sz w:val="18"/>
                <w:szCs w:val="18"/>
              </w:rPr>
              <w:t>20,6 %</w:t>
            </w:r>
          </w:p>
        </w:tc>
        <w:tc>
          <w:tcPr>
            <w:tcW w:w="1600" w:type="dxa"/>
          </w:tcPr>
          <w:p>
            <w:pPr>
              <w:jc w:val="center"/>
            </w:pPr>
            <w:r>
              <w:rPr>
                <w:sz w:val="18"/>
                <w:szCs w:val="18"/>
              </w:rPr>
              <w:t>→ C3 (68,2 %)</w:t>
            </w:r>
          </w:p>
        </w:tc>
        <w:tc>
          <w:tcPr>
            <w:tcW w:w="4526" w:type="dxa"/>
          </w:tcPr>
          <w:p>
            <w:r>
              <w:rPr>
                <w:sz w:val="18"/>
                <w:szCs w:val="18"/>
              </w:rPr>
              <w:t>Predominio C3 — severo agudo</w:t>
            </w:r>
          </w:p>
        </w:tc>
      </w:tr>
      <w:tr>
        <w:tc>
          <w:tcPr>
            <w:tcW w:w="700" w:type="dxa"/>
          </w:tcPr>
          <w:p>
            <w:pPr>
              <w:jc w:val="center"/>
            </w:pPr>
            <w:r>
              <w:rPr>
                <w:sz w:val="18"/>
                <w:szCs w:val="18"/>
              </w:rPr>
              <w:t>ι</w:t>
            </w:r>
          </w:p>
        </w:tc>
        <w:tc>
          <w:tcPr>
            <w:tcW w:w="1200" w:type="dxa"/>
          </w:tcPr>
          <w:p>
            <w:pPr>
              <w:jc w:val="center"/>
            </w:pPr>
            <w:r>
              <w:rPr>
                <w:sz w:val="18"/>
                <w:szCs w:val="18"/>
              </w:rPr>
              <w:t>201</w:t>
            </w:r>
          </w:p>
        </w:tc>
        <w:tc>
          <w:tcPr>
            <w:tcW w:w="1000" w:type="dxa"/>
          </w:tcPr>
          <w:p>
            <w:pPr>
              <w:jc w:val="center"/>
            </w:pPr>
            <w:r>
              <w:rPr>
                <w:sz w:val="18"/>
                <w:szCs w:val="18"/>
              </w:rPr>
              <w:t>68,2 %</w:t>
            </w:r>
          </w:p>
        </w:tc>
        <w:tc>
          <w:tcPr>
            <w:tcW w:w="1600" w:type="dxa"/>
          </w:tcPr>
          <w:p>
            <w:pPr>
              <w:jc w:val="center"/>
            </w:pPr>
            <w:r>
              <w:rPr>
                <w:sz w:val="18"/>
                <w:szCs w:val="18"/>
              </w:rPr>
              <w:t>→ C4 (48,3 %), C5 (19,9 %)</w:t>
            </w:r>
          </w:p>
        </w:tc>
        <w:tc>
          <w:tcPr>
            <w:tcW w:w="4526" w:type="dxa"/>
          </w:tcPr>
          <w:p>
            <w:r>
              <w:rPr>
                <w:sz w:val="18"/>
                <w:szCs w:val="18"/>
              </w:rPr>
              <w:t>Severo C4/C5 — alta tasa de eventos críticos</w:t>
            </w:r>
          </w:p>
        </w:tc>
      </w:tr>
      <w:tr>
        <w:tc>
          <w:tcPr>
            <w:tcW w:w="700" w:type="dxa"/>
          </w:tcPr>
          <w:p>
            <w:pPr>
              <w:jc w:val="center"/>
            </w:pPr>
            <w:r>
              <w:rPr>
                <w:sz w:val="18"/>
                <w:szCs w:val="18"/>
              </w:rPr>
              <w:t>θ</w:t>
            </w:r>
          </w:p>
        </w:tc>
        <w:tc>
          <w:tcPr>
            <w:tcW w:w="1200" w:type="dxa"/>
          </w:tcPr>
          <w:p>
            <w:pPr>
              <w:jc w:val="center"/>
            </w:pPr>
            <w:r>
              <w:rPr>
                <w:sz w:val="18"/>
                <w:szCs w:val="18"/>
              </w:rPr>
              <w:t>1.597</w:t>
            </w:r>
          </w:p>
        </w:tc>
        <w:tc>
          <w:tcPr>
            <w:tcW w:w="1000" w:type="dxa"/>
          </w:tcPr>
          <w:p>
            <w:pPr>
              <w:jc w:val="center"/>
            </w:pPr>
            <w:r>
              <w:rPr>
                <w:sz w:val="18"/>
                <w:szCs w:val="18"/>
              </w:rPr>
              <w:t>71,1 %</w:t>
            </w:r>
          </w:p>
        </w:tc>
        <w:tc>
          <w:tcPr>
            <w:tcW w:w="1600" w:type="dxa"/>
          </w:tcPr>
          <w:p>
            <w:pPr>
              <w:jc w:val="center"/>
            </w:pPr>
            <w:r>
              <w:rPr>
                <w:sz w:val="18"/>
                <w:szCs w:val="18"/>
              </w:rPr>
              <w:t>→ C4 (39,7 %), C5 (31,4 %), C3 (25,8 %)</w:t>
            </w:r>
          </w:p>
        </w:tc>
        <w:tc>
          <w:tcPr>
            <w:tcW w:w="4526" w:type="dxa"/>
          </w:tcPr>
          <w:p>
            <w:r>
              <w:rPr>
                <w:sz w:val="18"/>
                <w:szCs w:val="18"/>
              </w:rPr>
              <w:t>Severo mixto C4/C5 — segundo concentrador de morfotipos críticos</w:t>
            </w:r>
          </w:p>
        </w:tc>
      </w:tr>
      <w:tr>
        <w:tc>
          <w:tcPr>
            <w:tcW w:w="700" w:type="dxa"/>
          </w:tcPr>
          <w:p>
            <w:pPr>
              <w:jc w:val="center"/>
            </w:pPr>
            <w:r>
              <w:rPr>
                <w:sz w:val="18"/>
                <w:szCs w:val="18"/>
              </w:rPr>
              <w:t>δ</w:t>
            </w:r>
          </w:p>
        </w:tc>
        <w:tc>
          <w:tcPr>
            <w:tcW w:w="1200" w:type="dxa"/>
          </w:tcPr>
          <w:p>
            <w:pPr>
              <w:jc w:val="center"/>
            </w:pPr>
            <w:r>
              <w:rPr>
                <w:sz w:val="18"/>
                <w:szCs w:val="18"/>
              </w:rPr>
              <w:t>151</w:t>
            </w:r>
          </w:p>
        </w:tc>
        <w:tc>
          <w:tcPr>
            <w:tcW w:w="1000" w:type="dxa"/>
          </w:tcPr>
          <w:p>
            <w:pPr>
              <w:jc w:val="center"/>
            </w:pPr>
            <w:r>
              <w:rPr>
                <w:sz w:val="18"/>
                <w:szCs w:val="18"/>
              </w:rPr>
              <w:t>94,7 %</w:t>
            </w:r>
          </w:p>
        </w:tc>
        <w:tc>
          <w:tcPr>
            <w:tcW w:w="1600" w:type="dxa"/>
          </w:tcPr>
          <w:p>
            <w:pPr>
              <w:jc w:val="center"/>
            </w:pPr>
            <w:r>
              <w:rPr>
                <w:sz w:val="18"/>
                <w:szCs w:val="18"/>
              </w:rPr>
              <w:t>→ C5 (82,5 %), C4 (17,5 %)</w:t>
            </w:r>
          </w:p>
        </w:tc>
        <w:tc>
          <w:tcPr>
            <w:tcW w:w="4526" w:type="dxa"/>
          </w:tcPr>
          <w:p>
            <w:r>
              <w:rPr>
                <w:sz w:val="18"/>
                <w:szCs w:val="18"/>
              </w:rPr>
              <w:t>Concentrador máximo de C5 — morfotipo de mayor pureza severa del sistema escalar</w:t>
            </w:r>
          </w:p>
        </w:tc>
      </w:tr>
    </w:tbl>
    <w:p w14:paraId="1C250004" w14:textId="77777777" w:rsidR="00220889" w:rsidRDefault="00000000">
      <w:pPr>
        <w:spacing w:after="160" w:line="276" w:lineRule="auto"/>
        <w:jc w:val="both"/>
      </w:pPr>
      <w:r>
        <w:rPr>
          <w:i/>
          <w:iCs/>
          <w:color w:val="6B7280"/>
          <w:sz w:val="18"/>
          <w:szCs w:val="18"/>
        </w:rPr>
        <w:t>Nota. Datos verificados sobre gold/events.parquet (N = 85.286 EDOs). C4+C5 (%): fracción de eventos del morfotipo escalar clasificados como C4 o C5 por el sistema de curva. Morfotipos ordenados por N descendente; se muestran los 10 clusters del sistema K = 10. El morfotipo β no contiene eventos severos. Los morfotipos δ, θ e ι concentran el 94,7 %, 71,1 % y 68,2 % de sus eventos en C4+C5, confirmando la convergencia entre sistemas.</w:t>
      </w:r>
    </w:p>
    <w:p w14:paraId="6BB6DDB6" w14:textId="77777777" w:rsidR="00220889" w:rsidRDefault="00220889">
      <w:pPr>
        <w:spacing w:after="80"/>
      </w:pPr>
    </w:p>
    <w:p w14:paraId="6164758B" w14:textId="77777777" w:rsidR="00220889" w:rsidRDefault="00000000">
      <w:pPr>
        <w:pStyle w:val="Ttulo3"/>
      </w:pPr>
      <w:r>
        <w:t>4.2.6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ICC moderado-bajo; alta variabilidad situacional</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1313832089"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6D5AF354" w14:textId="77777777" w:rsidR="00220889"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23AE22BA" w14:textId="77777777" w:rsidR="00220889"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6A76F97B" w14:textId="77777777" w:rsidR="00220889" w:rsidRDefault="00000000">
      <w:pPr>
        <w:spacing w:before="80" w:after="40"/>
        <w:jc w:val="center"/>
      </w:pPr>
      <w:r>
        <w:rPr>
          <w:noProof/>
        </w:rPr>
        <w:drawing>
          <wp:inline distT="0" distB="0" distL="0" distR="0" wp14:anchorId="1ED5E661" wp14:editId="0EF3E3D1">
            <wp:extent cx="4191000" cy="1276350"/>
            <wp:effectExtent l="0" t="0" r="0" b="0"/>
            <wp:docPr id="617130267" name="Imagen 61713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276350"/>
                    </a:xfrm>
                    <a:prstGeom prst="rect">
                      <a:avLst/>
                    </a:prstGeom>
                  </pic:spPr>
                </pic:pic>
              </a:graphicData>
            </a:graphic>
          </wp:inline>
        </w:drawing>
      </w:r>
    </w:p>
    <w:p w14:paraId="714DE18F" w14:textId="77777777" w:rsidR="00220889"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2A5ADAE3" w14:textId="77777777" w:rsidR="00220889" w:rsidRDefault="00220889">
      <w:pPr>
        <w:spacing w:after="80"/>
      </w:pPr>
    </w:p>
    <w:p w14:paraId="7A8C03F0" w14:textId="77777777" w:rsidR="00220889" w:rsidRDefault="00000000">
      <w:pPr>
        <w:pStyle w:val="Ttulo2"/>
        <w:spacing w:before="300"/>
      </w:pPr>
      <w:r>
        <w:t>4.5  Validación de reproducibilidad multi-noche</w:t>
      </w:r>
    </w:p>
    <w:p w14:paraId="68800758" w14:textId="77777777" w:rsidR="00220889" w:rsidRDefault="00000000">
      <w:pPr>
        <w:spacing w:after="160" w:line="276" w:lineRule="auto"/>
        <w:jc w:val="both"/>
      </w:pPr>
      <w:r>
        <w:t xml:space="preserve">El ODI3 exhibe una variabilidad noche-a-noche que puede alcanzar el 30–50 % entre noches consecutivas del mismo paciente (Bittencourt et al., 2001; Levendowski et al., 2009). Esta inestabilidad sugiere que el estudio de una sola noche —esquema diagnóstico habitual— captura parcialmente el fenotipo del paciente, lo que otorga relevancia adicional a las métricas derivadas del pipeline cuando se evalúa su propia estabilidad multi-noche. Para cuantificarla, se construyeron curvas de estabilización mediante</w:t>
      </w:r>
      <w:r>
        <w:rPr>
          <w:i/>
          <w:iCs/>
        </w:rPr>
        <w:t>bootstrapping</w:t>
      </w:r>
      <w:r>
        <w:t xml:space="preserve"> (300 iteraciones por paciente) con ventanas acumulativas de 1 a 14 noches.</w:t>
      </w:r>
    </w:p>
    <w:p w14:paraId="12A6B03C" w14:textId="77777777" w:rsidR="00220889" w:rsidRDefault="00000000">
      <w:pPr>
        <w:pStyle w:val="Ttulo3"/>
      </w:pPr>
      <w:r>
        <w:t>4.5.1  Estabilización del ODI3 con el número de noches</w:t>
      </w:r>
    </w:p>
    <w:p w14:paraId="1FC3AB8A" w14:textId="77777777" w:rsidR="00220889"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(540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1C435013" w14:textId="77777777" w:rsidR="00220889"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5D63A9A4" w14:textId="77777777" w:rsidR="00220889" w:rsidRDefault="00000000">
      <w:pPr>
        <w:spacing w:before="80" w:after="40"/>
        <w:jc w:val="center"/>
      </w:pPr>
      <w:r>
        <w:rPr>
          <w:noProof/>
        </w:rPr>
        <w:drawing>
          <wp:inline distT="0" distB="0" distL="0" distR="0" wp14:anchorId="3D7794D4" wp14:editId="2F9562EE">
            <wp:extent cx="4191000" cy="1495425"/>
            <wp:effectExtent l="0" t="0" r="0" b="0"/>
            <wp:docPr id="1638237994" name="Imagen 163823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495425"/>
                    </a:xfrm>
                    <a:prstGeom prst="rect">
                      <a:avLst/>
                    </a:prstGeom>
                  </pic:spPr>
                </pic:pic>
              </a:graphicData>
            </a:graphic>
          </wp:inline>
        </w:drawing>
      </w:r>
    </w:p>
    <w:p w14:paraId="536FDB85" w14:textId="77777777" w:rsidR="00220889" w:rsidRDefault="00000000">
      <w:pPr>
        <w:spacing w:before="20" w:after="200"/>
        <w:jc w:val="center"/>
      </w:pPr>
      <w:r>
        <w:rPr>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w:t>
        <w:lastRenderedPageBreak/>
        <w:t>MAE = 2 ev/h, alcanzado aproximadamente a partir de 4 noches. (B) ICC(1,1) vs número de noches; los valores crecen desde 0,70 (1 noche) hasta 0,98 (14 noches).</w:t>
      </w: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14:paraId="2E24847D" w14:textId="77777777" w:rsidR="00220889"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49FB82E1" w14:textId="77777777" w:rsidR="00220889" w:rsidRDefault="00220889">
      <w:pPr>
        <w:spacing w:after="80"/>
      </w:pPr>
    </w:p>
    <w:p w14:paraId="50D8D8EA" w14:textId="77777777" w:rsidR="00220889" w:rsidRDefault="00220889">
      <w:pPr>
        <w:spacing w:after="60"/>
      </w:pPr>
    </w:p>
    <w:p w14:paraId="2A06676B" w14:textId="77777777" w:rsidR="00220889" w:rsidRDefault="00000000">
      <w:pPr>
        <w:spacing w:before="60" w:after="40"/>
        <w:jc w:val="center"/>
      </w:pPr>
      <w:r>
        <w:rPr>
          <w:b/>
          <w:bCs/>
          <w:color w:val="333333"/>
          <w:sz w:val="18"/>
          <w:szCs w:val="18"/>
        </w:rPr>
        <w:t>Figura 4.7. Validación multi-noche del ARI: MAE bootstrap y análisis de concordancia Bland-Altman.</w:t>
      </w:r>
    </w:p>
    <w:p w14:paraId="52BA489D" w14:textId="77777777" w:rsidR="00220889" w:rsidRDefault="00000000">
      <w:pPr>
        <w:spacing w:before="80" w:after="40"/>
        <w:jc w:val="center"/>
      </w:pPr>
      <w:r>
        <w:rPr>
          <w:noProof/>
        </w:rPr>
        <w:drawing>
          <wp:inline distT="0" distB="0" distL="0" distR="0" wp14:anchorId="11011D1B" wp14:editId="72C643B6">
            <wp:extent cx="4191000" cy="1495425"/>
            <wp:effectExtent l="0" t="0" r="0" b="0"/>
            <wp:docPr id="1081949402" name="Imagen 108194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495425"/>
                    </a:xfrm>
                    <a:prstGeom prst="rect">
                      <a:avLst/>
                    </a:prstGeom>
                  </pic:spPr>
                </pic:pic>
              </a:graphicData>
            </a:graphic>
          </wp:inline>
        </w:drawing>
      </w:r>
    </w:p>
    <w:p w14:paraId="4F809995" w14:textId="77777777" w:rsidR="00220889"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la profundidad hipóxica individual de cada evento (ρ(ARI, drop_pct) = 0,034 a nivel de evento; N = 85.277 EDOs) y con correlación negativa débil respecto al ODI3 nocturno (ρ(ARI, ODI3) = −0,065 a nivel de evento).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1A2B3C02" w14:textId="77777777" w:rsidR="00220889" w:rsidRDefault="00000000">
      <w:pPr>
        <w:spacing w:after="160" w:line="276" w:lineRule="auto"/>
        <w:jc w:val="both"/>
      </w:pPr>
      <w:r>
        <w:t xml:space="preserve">Un hallazgo de carácter observacional, emergente del uso de la aplicación sobre datos reales, merece mención como limitación del clasificador morfológico: cuando un evento severo (C3–C5) es seguido por otro evento dentro de los 90 s, la baseline local del segundo evento puede estar descendida, haciendo que su caída relativa quede subestimada y que se clasifique como C1 o C2 aunque el paciente continúe en hipoxemia sostenida. Esta </w:t>
      </w:r>
      <w:r>
        <w:rPr>
          <w:i/>
          <w:iCs/>
        </w:rPr>
        <w:t>fragmentación de eventos</w:t>
      </w:r>
      <w:r>
        <w:t xml:space="preserve"> es un artefacto del diseño de la ventana deslizante de 120 s (§3.3) y tiene dos consecuencias prácticas: el ODI puede sobreestimar el número de eventos independientes, y el ARI de los C1/C2 post-severos puede ser artificialmente bajo. El análisis de fragmentación, desarrollado en §4.2.4, complementa la lectura del ODI con la </w:t>
      </w:r>
      <w:r>
        <w:rPr>
          <w:i/>
          <w:iCs/>
        </w:rPr>
        <w:t>hypoxic burden</w:t>
      </w:r>
      <w:r>
        <w:t xml:space="preserve"> como métrica más robusta ante episodios fragmentados.</w:t>
      </w:r>
    </w:p>
    <w:p w14:paraId="55337484" w14:textId="77777777" w:rsidR="00220889" w:rsidRDefault="00220889">
      <w:pPr>
        <w:spacing w:after="80"/>
      </w:pPr>
    </w:p>
    <w:p w14:paraId="3209C891" w14:textId="77777777" w:rsidR="00220889" w:rsidRDefault="00000000">
      <w:r>
        <w:br w:type="page"/>
      </w:r>
    </w:p>
    <w:p w14:paraId="3C6029A2" w14:textId="77777777" w:rsidR="00220889" w:rsidRDefault="00000000">
      <w:pPr>
        <w:pStyle w:val="Ttulo2"/>
        <w:spacing w:before="300"/>
      </w:pPr>
      <w:r>
        <w:lastRenderedPageBreak/>
        <w:t>Referencias</w:t>
      </w:r>
    </w:p>
    <w:p w14:paraId="502A0637" w14:textId="77777777" w:rsidR="00220889"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773D4810" w14:textId="77777777" w:rsidR="00220889"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05029716" w14:textId="77777777" w:rsidR="00220889"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4F6AD17A" w14:textId="77777777" w:rsidR="00220889"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4FF30EC9" w14:textId="77777777" w:rsidR="00220889"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3A8B0A37" w14:textId="77777777" w:rsidR="00220889"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0313A79E" w14:textId="77777777" w:rsidR="00220889"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2411FE64" w14:textId="77777777" w:rsidR="00220889"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6158F953" w14:textId="77777777" w:rsidR="00220889"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2D61E26F" w14:textId="77777777" w:rsidR="00220889"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1F388AC7" w14:textId="77777777" w:rsidR="00220889"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sectPr w:rsidR="00220889">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9E7" w14:textId="77777777" w:rsidR="00066AFB" w:rsidRDefault="00066AFB">
      <w:r>
        <w:separator/>
      </w:r>
    </w:p>
  </w:endnote>
  <w:endnote w:type="continuationSeparator" w:id="0">
    <w:p w14:paraId="0B466359" w14:textId="77777777" w:rsidR="00066AFB" w:rsidRDefault="0006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99F" w14:textId="77777777" w:rsidR="0022088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71A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F1A" w14:textId="77777777" w:rsidR="00066AFB" w:rsidRDefault="00066AFB">
      <w:r>
        <w:separator/>
      </w:r>
    </w:p>
  </w:footnote>
  <w:footnote w:type="continuationSeparator" w:id="0">
    <w:p w14:paraId="705C96AF" w14:textId="77777777" w:rsidR="00066AFB" w:rsidRDefault="0006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EC35" w14:textId="1E003C82" w:rsidR="0022088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3142D">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247"/>
    <w:multiLevelType w:val="hybridMultilevel"/>
    <w:tmpl w:val="F8DCAD66"/>
    <w:lvl w:ilvl="0" w:tplc="8F646892">
      <w:start w:val="1"/>
      <w:numFmt w:val="bullet"/>
      <w:lvlText w:val="●"/>
      <w:lvlJc w:val="left"/>
      <w:pPr>
        <w:ind w:left="720" w:hanging="360"/>
      </w:pPr>
    </w:lvl>
    <w:lvl w:ilvl="1" w:tplc="44108A82">
      <w:start w:val="1"/>
      <w:numFmt w:val="bullet"/>
      <w:lvlText w:val="○"/>
      <w:lvlJc w:val="left"/>
      <w:pPr>
        <w:ind w:left="1440" w:hanging="360"/>
      </w:pPr>
    </w:lvl>
    <w:lvl w:ilvl="2" w:tplc="0436088C">
      <w:start w:val="1"/>
      <w:numFmt w:val="bullet"/>
      <w:lvlText w:val="■"/>
      <w:lvlJc w:val="left"/>
      <w:pPr>
        <w:ind w:left="2160" w:hanging="360"/>
      </w:pPr>
    </w:lvl>
    <w:lvl w:ilvl="3" w:tplc="63205478">
      <w:start w:val="1"/>
      <w:numFmt w:val="bullet"/>
      <w:lvlText w:val="●"/>
      <w:lvlJc w:val="left"/>
      <w:pPr>
        <w:ind w:left="2880" w:hanging="360"/>
      </w:pPr>
    </w:lvl>
    <w:lvl w:ilvl="4" w:tplc="03960656">
      <w:start w:val="1"/>
      <w:numFmt w:val="bullet"/>
      <w:lvlText w:val="○"/>
      <w:lvlJc w:val="left"/>
      <w:pPr>
        <w:ind w:left="3600" w:hanging="360"/>
      </w:pPr>
    </w:lvl>
    <w:lvl w:ilvl="5" w:tplc="8CA0392C">
      <w:start w:val="1"/>
      <w:numFmt w:val="bullet"/>
      <w:lvlText w:val="■"/>
      <w:lvlJc w:val="left"/>
      <w:pPr>
        <w:ind w:left="4320" w:hanging="360"/>
      </w:pPr>
    </w:lvl>
    <w:lvl w:ilvl="6" w:tplc="DE62E056">
      <w:start w:val="1"/>
      <w:numFmt w:val="bullet"/>
      <w:lvlText w:val="●"/>
      <w:lvlJc w:val="left"/>
      <w:pPr>
        <w:ind w:left="5040" w:hanging="360"/>
      </w:pPr>
    </w:lvl>
    <w:lvl w:ilvl="7" w:tplc="C458EDF2">
      <w:start w:val="1"/>
      <w:numFmt w:val="bullet"/>
      <w:lvlText w:val="●"/>
      <w:lvlJc w:val="left"/>
      <w:pPr>
        <w:ind w:left="5760" w:hanging="360"/>
      </w:pPr>
    </w:lvl>
    <w:lvl w:ilvl="8" w:tplc="ECDC7492">
      <w:start w:val="1"/>
      <w:numFmt w:val="bullet"/>
      <w:lvlText w:val="●"/>
      <w:lvlJc w:val="left"/>
      <w:pPr>
        <w:ind w:left="6480" w:hanging="360"/>
      </w:pPr>
    </w:lvl>
  </w:abstractNum>
  <w:num w:numId="1" w16cid:durableId="20942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9"/>
    <w:rsid w:val="00066AFB"/>
    <w:rsid w:val="000F522A"/>
    <w:rsid w:val="001B38E7"/>
    <w:rsid w:val="00220889"/>
    <w:rsid w:val="0043142D"/>
    <w:rsid w:val="00542413"/>
    <w:rsid w:val="00726E42"/>
    <w:rsid w:val="00A71A2A"/>
    <w:rsid w:val="00CB7A73"/>
    <w:rsid w:val="00FF3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0447FB"/>
  <w15:docId w15:val="{B1D7434C-C151-224A-AD9A-28254C2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 w:type="paragraph" w:styleId="Encabezado">
    <w:name w:val="header"/>
    <w:basedOn w:val="Normal"/>
    <w:link w:val="EncabezadoCar"/>
    <w:uiPriority w:val="99"/>
    <w:unhideWhenUsed/>
    <w:rsid w:val="0043142D"/>
    <w:pPr>
      <w:tabs>
        <w:tab w:val="center" w:pos="4419"/>
        <w:tab w:val="right" w:pos="8838"/>
      </w:tabs>
    </w:pPr>
  </w:style>
  <w:style w:type="character" w:customStyle="1" w:styleId="EncabezadoCar">
    <w:name w:val="Encabezado Car"/>
    <w:basedOn w:val="Fuentedeprrafopredeter"/>
    <w:link w:val="Encabezado"/>
    <w:uiPriority w:val="99"/>
    <w:rsid w:val="0043142D"/>
  </w:style>
  <w:style w:type="paragraph" w:styleId="Piedepgina">
    <w:name w:val="footer"/>
    <w:basedOn w:val="Normal"/>
    <w:link w:val="PiedepginaCar"/>
    <w:uiPriority w:val="99"/>
    <w:unhideWhenUsed/>
    <w:rsid w:val="0043142D"/>
    <w:pPr>
      <w:tabs>
        <w:tab w:val="center" w:pos="4419"/>
        <w:tab w:val="right" w:pos="8838"/>
      </w:tabs>
    </w:pPr>
  </w:style>
  <w:style w:type="character" w:customStyle="1" w:styleId="PiedepginaCar">
    <w:name w:val="Pie de página Car"/>
    <w:basedOn w:val="Fuentedeprrafopredeter"/>
    <w:link w:val="Piedepgina"/>
    <w:uiPriority w:val="99"/>
    <w:rsid w:val="0043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5055</Words>
  <Characters>27298</Characters>
  <Application>Microsoft Office Word</Application>
  <DocSecurity>0</DocSecurity>
  <Lines>718</Lines>
  <Paragraphs>371</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2026-05-24T22:53:00Z</dcterms:created>
  <dcterms:modified xsi:type="dcterms:W3CDTF">2026-05-24T22:53:00Z</dcterms:modified>
</cp:coreProperties>
</file>