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3A5F" w:sz="8" w:space="8"/>
        </w:pBdr>
        <w:spacing w:after="280" w:before="360"/>
      </w:pPr>
      <w:r>
        <w:rPr>
          <w:rFonts w:ascii="Arial" w:cs="Arial" w:eastAsia="Arial" w:hAnsi="Arial"/>
          <w:b/>
          <w:bCs/>
          <w:color w:val="1E3A5F"/>
          <w:sz w:val="36"/>
          <w:szCs w:val="36"/>
        </w:rPr>
        <w:t xml:space="preserve">Capítulo 4: Fenotipado Morfológico y Respuesta Autonómica de los Eventos de Desaturación</w:t>
      </w:r>
    </w:p>
    <w:p>
      <w:pPr>
        <w:spacing w:after="160" w:line="276" w:lineRule="auto"/>
        <w:jc w:val="both"/>
      </w:pPr>
      <w:r>
        <w:rPr>
          <w:rFonts w:ascii="Arial" w:cs="Arial" w:eastAsia="Arial" w:hAnsi="Arial"/>
          <w:sz w:val="22"/>
          <w:szCs w:val="22"/>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Fonts w:ascii="Arial" w:cs="Arial" w:eastAsia="Arial" w:hAnsi="Arial"/>
          <w:i/>
          <w:iCs/>
          <w:sz w:val="22"/>
          <w:szCs w:val="22"/>
        </w:rPr>
        <w:t xml:space="preserve">K</w:t>
      </w:r>
      <w:r>
        <w:rPr>
          <w:rFonts w:ascii="Arial" w:cs="Arial" w:eastAsia="Arial" w:hAnsi="Arial"/>
          <w:sz w:val="22"/>
          <w:szCs w:val="22"/>
        </w:rPr>
        <w:t xml:space="preserve">-means sobre el corpus completo, y el cálculo del Índice de Respuesta Autonómica (ARI). El presente capítulo expone los resultados de esa caracterización: los cinco morfotipos de curva SpO₂ (C1–C5), sus propiedades morfológicas y autonómicas, el diagnóstico del índice de respuesta original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rFonts w:ascii="Arial" w:cs="Arial" w:eastAsia="Arial" w:hAnsi="Arial"/>
          <w:i/>
          <w:iCs/>
          <w:sz w:val="22"/>
          <w:szCs w:val="22"/>
        </w:rPr>
        <w:t xml:space="preserve">features</w:t>
      </w:r>
      <w:r>
        <w:rPr>
          <w:rFonts w:ascii="Arial" w:cs="Arial" w:eastAsia="Arial" w:hAnsi="Arial"/>
          <w:sz w:val="22"/>
          <w:szCs w:val="22"/>
        </w:rPr>
        <w:t xml:space="preserve"> nocturnas que se desarrolla en el Capítulo 5.</w:t>
      </w:r>
    </w:p>
    <w:p>
      <w:pPr>
        <w:spacing w:after="80"/>
      </w:pPr>
      <w:r>
        <w:t xml:space="preserve"/>
      </w:r>
    </w:p>
    <w:p>
      <w:pPr>
        <w:pStyle w:val="Heading2"/>
        <w:spacing w:after="160" w:before="300"/>
      </w:pPr>
      <w:r>
        <w:rPr>
          <w:rFonts w:ascii="Arial" w:cs="Arial" w:eastAsia="Arial" w:hAnsi="Arial"/>
          <w:b/>
          <w:bCs/>
          <w:color w:val="1E3A5F"/>
          <w:sz w:val="28"/>
          <w:szCs w:val="28"/>
        </w:rPr>
        <w:t xml:space="preserve">4.1  Descripción del corpus de eventos</w:t>
      </w:r>
    </w:p>
    <w:p>
      <w:pPr>
        <w:spacing w:after="160" w:line="276" w:lineRule="auto"/>
        <w:jc w:val="both"/>
      </w:pPr>
      <w:r>
        <w:rPr>
          <w:rFonts w:ascii="Arial" w:cs="Arial" w:eastAsia="Arial" w:hAnsi="Arial"/>
          <w:sz w:val="22"/>
          <w:szCs w:val="22"/>
        </w:rPr>
        <w:t xml:space="preserve">El pipeline PAC_v3 procesó registros domiciliarios de 12 pacientes, dando lugar a un corpus de 560 noches </w:t>
      </w:r>
      <w:r>
        <w:rPr>
          <w:rFonts w:ascii="Arial" w:cs="Arial" w:eastAsia="Arial" w:hAnsi="Arial"/>
          <w:i/>
          <w:iCs/>
          <w:sz w:val="22"/>
          <w:szCs w:val="22"/>
        </w:rPr>
        <w:t xml:space="preserve">in_quality</w:t>
      </w:r>
      <w:r>
        <w:rPr>
          <w:rFonts w:ascii="Arial" w:cs="Arial" w:eastAsia="Arial" w:hAnsi="Arial"/>
          <w:sz w:val="22"/>
          <w:szCs w:val="22"/>
        </w:rPr>
        <w:t xml:space="preserve"> y un total de 85.286 EDOs detectados. A lo largo de este capítulo se manejan cuatro tamaños de muestra distintos, cuya diferencia se justifica por criterios de calidad y cohorte; la Tabla 4.0 los resume para facilitar la lectura.</w:t>
      </w:r>
    </w:p>
    <w:p>
      <w:pPr>
        <w:spacing w:after="80"/>
      </w:pPr>
      <w:r>
        <w:t xml:space="preserve"/>
      </w:r>
    </w:p>
    <w:p>
      <w:pPr>
        <w:spacing w:after="80" w:before="80"/>
        <w:jc w:val="center"/>
      </w:pPr>
      <w:r>
        <w:rPr>
          <w:rFonts w:ascii="Arial" w:cs="Arial" w:eastAsia="Arial" w:hAnsi="Arial"/>
          <w:b/>
          <w:bCs/>
          <w:sz w:val="18"/>
          <w:szCs w:val="18"/>
        </w:rPr>
        <w:t xml:space="preserve">Tabla 4.0. Tamaños de muestra utilizados en el capítulo.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772"/>
      </w:tblGrid>
      <w:tr>
        <w:trPr>
          <w:tblHeader/>
        </w:trPr>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 / noches</w:t>
            </w:r>
          </w:p>
        </w:tc>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Valor</w:t>
            </w:r>
          </w:p>
        </w:tc>
        <w:tc>
          <w:tcPr>
            <w:tcW w:type="dxa" w:w="57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Total detectado</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85.286</w:t>
            </w:r>
          </w:p>
        </w:tc>
        <w:tc>
          <w:tcPr>
            <w:tcW w:type="dxa" w:w="5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detectados por el algoritmo antes de cualquier filtro de calidad de señal</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In_quality</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85.277</w:t>
            </w:r>
          </w:p>
        </w:tc>
        <w:tc>
          <w:tcPr>
            <w:tcW w:type="dxa" w:w="5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con señal SpO₂ y FC válida — usados para el ARI y correlaciones (§4.3)</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 morfotipo asignado</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84.248</w:t>
            </w:r>
          </w:p>
        </w:tc>
        <w:tc>
          <w:tcPr>
            <w:tcW w:type="dxa" w:w="5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Subconjunto de in_quality con curva de 30 puntos normalizable — base del clustering C1–C5 (§4.2)</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Cohorte estricta</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83.672</w:t>
            </w:r>
          </w:p>
        </w:tc>
        <w:tc>
          <w:tcPr>
            <w:tcW w:type="dxa" w:w="5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de 8 pacientes con ≥ 10 noches in_quality — usados en modelos predictivos (Capítulos 5–7)</w:t>
            </w:r>
          </w:p>
        </w:tc>
      </w:tr>
    </w:tbl>
    <w:p>
      <w:pPr>
        <w:spacing w:after="200" w:before="60"/>
        <w:jc w:val="center"/>
      </w:pPr>
      <w:r>
        <w:rPr>
          <w:rFonts w:ascii="Arial" w:cs="Arial" w:eastAsia="Arial" w:hAnsi="Arial"/>
          <w:i/>
          <w:iCs/>
          <w:color w:val="444444"/>
          <w:sz w:val="18"/>
          <w:szCs w:val="18"/>
        </w:rPr>
        <w:t xml:space="preserve">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pPr>
        <w:spacing w:after="80"/>
      </w:pPr>
      <w:r>
        <w:t xml:space="preserve"/>
      </w:r>
    </w:p>
    <w:p>
      <w:pPr>
        <w:spacing w:after="160" w:line="276" w:lineRule="auto"/>
        <w:jc w:val="both"/>
      </w:pPr>
      <w:r>
        <w:rPr>
          <w:rFonts w:ascii="Arial" w:cs="Arial" w:eastAsia="Arial" w:hAnsi="Arial"/>
          <w:sz w:val="22"/>
          <w:szCs w:val="22"/>
        </w:rPr>
        <w:t xml:space="preserve">La duración media de registro fue de 5,8 ± 1,5 horas por noche, equivalente a aproximadamente 3.248 horas acumuladas de tiempo de sueño (TST). Los análisis de </w:t>
      </w:r>
      <w:r>
        <w:rPr>
          <w:rFonts w:ascii="Arial" w:cs="Arial" w:eastAsia="Arial" w:hAnsi="Arial"/>
          <w:i/>
          <w:iCs/>
          <w:sz w:val="22"/>
          <w:szCs w:val="22"/>
        </w:rPr>
        <w:t xml:space="preserve">clustering</w:t>
      </w:r>
      <w:r>
        <w:rPr>
          <w:rFonts w:ascii="Arial" w:cs="Arial" w:eastAsia="Arial" w:hAnsi="Arial"/>
          <w:sz w:val="22"/>
          <w:szCs w:val="22"/>
        </w:rPr>
        <w:t xml:space="preserve"> y de respuesta autonómica utilizaron el corpus </w:t>
      </w:r>
      <w:r>
        <w:rPr>
          <w:rFonts w:ascii="Arial" w:cs="Arial" w:eastAsia="Arial" w:hAnsi="Arial"/>
          <w:i/>
          <w:iCs/>
          <w:sz w:val="22"/>
          <w:szCs w:val="22"/>
        </w:rPr>
        <w:t xml:space="preserve">in_quality</w:t>
      </w:r>
      <w:r>
        <w:rPr>
          <w:rFonts w:ascii="Arial" w:cs="Arial" w:eastAsia="Arial" w:hAnsi="Arial"/>
          <w:sz w:val="22"/>
          <w:szCs w:val="22"/>
        </w:rPr>
        <w:t xml:space="preserve"> (cohorte completa, 12 pacientes), mientras que los modelos predictivos de los capítulos siguientes restringieron la muestra a la cohorte estricta (8 pacientes con ≥ 10 noches </w:t>
      </w:r>
      <w:r>
        <w:rPr>
          <w:rFonts w:ascii="Arial" w:cs="Arial" w:eastAsia="Arial" w:hAnsi="Arial"/>
          <w:i/>
          <w:iCs/>
          <w:sz w:val="22"/>
          <w:szCs w:val="22"/>
        </w:rPr>
        <w:t xml:space="preserve">in_quality</w:t>
      </w:r>
      <w:r>
        <w:rPr>
          <w:rFonts w:ascii="Arial" w:cs="Arial" w:eastAsia="Arial" w:hAnsi="Arial"/>
          <w:sz w:val="22"/>
          <w:szCs w:val="22"/>
        </w:rPr>
        <w:t xml:space="preserve">; 83.672 EDOs), cuyos criterios de inclusión se explicitaron en §3.1.</w:t>
      </w:r>
    </w:p>
    <w:p>
      <w:pPr>
        <w:spacing w:after="160" w:line="276" w:lineRule="auto"/>
        <w:jc w:val="both"/>
      </w:pPr>
      <w:r>
        <w:rPr>
          <w:rFonts w:ascii="Arial" w:cs="Arial" w:eastAsia="Arial" w:hAnsi="Arial"/>
          <w:sz w:val="22"/>
          <w:szCs w:val="22"/>
        </w:rPr>
        <w:t xml:space="preserve">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w:t>
      </w:r>
    </w:p>
    <w:p>
      <w:pPr>
        <w:spacing w:after="80"/>
      </w:pPr>
      <w:r>
        <w:t xml:space="preserve"/>
      </w:r>
    </w:p>
    <w:p>
      <w:pPr>
        <w:spacing w:after="80" w:before="80"/>
        <w:jc w:val="center"/>
      </w:pPr>
      <w:r>
        <w:rPr>
          <w:rFonts w:ascii="Arial" w:cs="Arial" w:eastAsia="Arial" w:hAnsi="Arial"/>
          <w:b/>
          <w:bCs/>
          <w:sz w:val="18"/>
          <w:szCs w:val="18"/>
        </w:rPr>
        <w:t xml:space="preserve">Tabla 4.1. Distribución de la cohorte por categoría AASM según ODI3.</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700"/>
        <w:gridCol w:w="1172"/>
      </w:tblGrid>
      <w:tr>
        <w:trPr>
          <w:tblHeader/>
        </w:trPr>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 AASM</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Umbral ODI3 (ev/h)</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total</w:t>
            </w:r>
          </w:p>
        </w:tc>
        <w:tc>
          <w:tcPr>
            <w:tcW w:type="dxa" w:w="11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ODI3 medio ± DE</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Normal</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&lt; 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29</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3,2 ± 1,1</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Leve</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 – 15</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259</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46,2 %</w:t>
            </w:r>
          </w:p>
        </w:tc>
        <w:tc>
          <w:tcPr>
            <w:tcW w:type="dxa" w:w="1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9,8 ± 2,9</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15 – 30</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218</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38,9 %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21,3 ± 3,8</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&gt; 30</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9,6 %</w:t>
            </w:r>
          </w:p>
        </w:tc>
        <w:tc>
          <w:tcPr>
            <w:tcW w:type="dxa" w:w="1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44,8 ± 11,2</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Total / Global</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560</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100 %</w:t>
            </w:r>
          </w:p>
        </w:tc>
        <w:tc>
          <w:tcPr>
            <w:tcW w:type="dxa" w:w="1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17,9 ± 14,1</w:t>
            </w:r>
          </w:p>
        </w:tc>
      </w:tr>
    </w:tbl>
    <w:p>
      <w:pPr>
        <w:spacing w:after="200" w:before="60"/>
        <w:jc w:val="center"/>
      </w:pPr>
      <w:r>
        <w:rPr>
          <w:rFonts w:ascii="Arial" w:cs="Arial" w:eastAsia="Arial" w:hAnsi="Arial"/>
          <w:i/>
          <w:iCs/>
          <w:color w:val="444444"/>
          <w:sz w:val="18"/>
          <w:szCs w:val="18"/>
        </w:rPr>
        <w:t xml:space="preserve">Nota. DE = desviación estándar. ODI3: umbral de desaturación de 3 puntos porcentuales. N = 560 noches.</w:t>
      </w:r>
    </w:p>
    <w:p>
      <w:pPr>
        <w:spacing w:after="80"/>
      </w:pPr>
      <w:r>
        <w:t xml:space="preserve"/>
      </w:r>
    </w:p>
    <w:p>
      <w:pPr>
        <w:pStyle w:val="Heading2"/>
        <w:spacing w:after="160" w:before="300"/>
      </w:pPr>
      <w:r>
        <w:rPr>
          <w:rFonts w:ascii="Arial" w:cs="Arial" w:eastAsia="Arial" w:hAnsi="Arial"/>
          <w:b/>
          <w:bCs/>
          <w:color w:val="1E3A5F"/>
          <w:sz w:val="28"/>
          <w:szCs w:val="28"/>
        </w:rPr>
        <w:t xml:space="preserve">4.2  Fenotipado morfológico de los EDOs (NB01)</w:t>
      </w:r>
    </w:p>
    <w:p>
      <w:pPr>
        <w:spacing w:after="160" w:line="276" w:lineRule="auto"/>
        <w:jc w:val="both"/>
      </w:pPr>
      <w:r>
        <w:rPr>
          <w:rFonts w:ascii="Arial" w:cs="Arial" w:eastAsia="Arial" w:hAnsi="Arial"/>
          <w:sz w:val="22"/>
          <w:szCs w:val="22"/>
        </w:rPr>
        <w:t xml:space="preserve">El análisis morfológico operó sobre el espacio de curvas de SpO₂ de 30 puntos normalizados (§3.4). El PCA previo al </w:t>
      </w:r>
      <w:r>
        <w:rPr>
          <w:rFonts w:ascii="Arial" w:cs="Arial" w:eastAsia="Arial" w:hAnsi="Arial"/>
          <w:i/>
          <w:iCs/>
          <w:sz w:val="22"/>
          <w:szCs w:val="22"/>
        </w:rPr>
        <w:t xml:space="preserve">clustering</w:t>
      </w:r>
      <w:r>
        <w:rPr>
          <w:rFonts w:ascii="Arial" w:cs="Arial" w:eastAsia="Arial" w:hAnsi="Arial"/>
          <w:sz w:val="22"/>
          <w:szCs w:val="22"/>
        </w:rP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pPr>
        <w:pStyle w:val="Heading3"/>
        <w:spacing w:after="100" w:before="220"/>
      </w:pPr>
      <w:r>
        <w:rPr>
          <w:rFonts w:ascii="Arial" w:cs="Arial" w:eastAsia="Arial" w:hAnsi="Arial"/>
          <w:b/>
          <w:bCs/>
          <w:color w:val="2C4E72"/>
          <w:sz w:val="24"/>
          <w:szCs w:val="24"/>
        </w:rPr>
        <w:t xml:space="preserve">4.2.1  Selección del número de grupos</w:t>
      </w:r>
    </w:p>
    <w:p>
      <w:pPr>
        <w:spacing w:after="160" w:line="276" w:lineRule="auto"/>
        <w:jc w:val="both"/>
      </w:pPr>
      <w:r>
        <w:rPr>
          <w:rFonts w:ascii="Arial" w:cs="Arial" w:eastAsia="Arial" w:hAnsi="Arial"/>
          <w:sz w:val="22"/>
          <w:szCs w:val="22"/>
        </w:rPr>
        <w:t xml:space="preserve">Se evaluaron valores de K entre 2 y 8. La métrica </w:t>
      </w:r>
      <w:r>
        <w:rPr>
          <w:rFonts w:ascii="Arial" w:cs="Arial" w:eastAsia="Arial" w:hAnsi="Arial"/>
          <w:i/>
          <w:iCs/>
          <w:sz w:val="22"/>
          <w:szCs w:val="22"/>
        </w:rPr>
        <w:t xml:space="preserve">Silhouette</w:t>
      </w:r>
      <w:r>
        <w:rPr>
          <w:rFonts w:ascii="Arial" w:cs="Arial" w:eastAsia="Arial" w:hAnsi="Arial"/>
          <w:sz w:val="22"/>
          <w:szCs w:val="22"/>
        </w:rPr>
        <w:t xml:space="preserve"> arrojó un máximo local en K = 5 (coeficiente = 0,386 &gt; K = 4 = 0,381), que se tomó como criterio principal (Rousseeuw, 1987). El análisis de la curva de inercia (</w:t>
      </w:r>
      <w:r>
        <w:rPr>
          <w:rFonts w:ascii="Arial" w:cs="Arial" w:eastAsia="Arial" w:hAnsi="Arial"/>
          <w:i/>
          <w:iCs/>
          <w:sz w:val="22"/>
          <w:szCs w:val="22"/>
        </w:rPr>
        <w:t xml:space="preserve">elbow</w:t>
      </w:r>
      <w:r>
        <w:rPr>
          <w:rFonts w:ascii="Arial" w:cs="Arial" w:eastAsia="Arial" w:hAnsi="Arial"/>
          <w:sz w:val="22"/>
          <w:szCs w:val="22"/>
        </w:rP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rFonts w:ascii="Arial" w:cs="Arial" w:eastAsia="Arial" w:hAnsi="Arial"/>
          <w:i/>
          <w:iCs/>
          <w:sz w:val="22"/>
          <w:szCs w:val="22"/>
        </w:rPr>
        <w:t xml:space="preserve">baseline</w:t>
      </w:r>
      <w:r>
        <w:rPr>
          <w:rFonts w:ascii="Arial" w:cs="Arial" w:eastAsia="Arial" w:hAnsi="Arial"/>
          <w:sz w:val="22"/>
          <w:szCs w:val="22"/>
        </w:rPr>
        <w:t xml:space="preserve">), dos fenotipos con relevancia clínica diferente que los morfotipos escalares (</w:t>
      </w:r>
      <w:r>
        <w:rPr>
          <w:rFonts w:ascii="Arial" w:cs="Arial" w:eastAsia="Arial" w:hAnsi="Arial"/>
          <w:i/>
          <w:iCs/>
          <w:sz w:val="22"/>
          <w:szCs w:val="22"/>
        </w:rPr>
        <w:t xml:space="preserve">rule-based</w:t>
      </w:r>
      <w:r>
        <w:rPr>
          <w:rFonts w:ascii="Arial" w:cs="Arial" w:eastAsia="Arial" w:hAnsi="Arial"/>
          <w:sz w:val="22"/>
          <w:szCs w:val="22"/>
        </w:rPr>
        <w:t xml:space="preserve">) no capturaban de forma limpia.</w:t>
      </w:r>
    </w:p>
    <w:p>
      <w:pPr>
        <w:pStyle w:val="Heading3"/>
        <w:spacing w:after="100" w:before="220"/>
      </w:pPr>
      <w:r>
        <w:rPr>
          <w:rFonts w:ascii="Arial" w:cs="Arial" w:eastAsia="Arial" w:hAnsi="Arial"/>
          <w:b/>
          <w:bCs/>
          <w:color w:val="2C4E72"/>
          <w:sz w:val="24"/>
          <w:szCs w:val="24"/>
        </w:rPr>
        <w:t xml:space="preserve">4.2.2  Perfiles morfológicos de los cinco fenotipos</w:t>
      </w:r>
    </w:p>
    <w:p>
      <w:pPr>
        <w:spacing w:after="160" w:line="276" w:lineRule="auto"/>
        <w:jc w:val="both"/>
      </w:pPr>
      <w:r>
        <w:rPr>
          <w:rFonts w:ascii="Arial" w:cs="Arial" w:eastAsia="Arial" w:hAnsi="Arial"/>
          <w:sz w:val="22"/>
          <w:szCs w:val="22"/>
        </w:rPr>
        <w:t xml:space="preserve">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pPr>
        <w:spacing w:after="80"/>
      </w:pPr>
      <w:r>
        <w:t xml:space="preserve"/>
      </w:r>
    </w:p>
    <w:p>
      <w:pPr>
        <w:spacing w:after="80" w:before="80"/>
        <w:jc w:val="center"/>
      </w:pPr>
      <w:r>
        <w:rPr>
          <w:rFonts w:ascii="Arial" w:cs="Arial" w:eastAsia="Arial" w:hAnsi="Arial"/>
          <w:b/>
          <w:bCs/>
          <w:sz w:val="18"/>
          <w:szCs w:val="18"/>
        </w:rPr>
        <w:t xml:space="preserve">Tabla 4.2. Perfiles morfológicos de los cinco fenotipos de curva de SpO₂ (corpus completo, N = 84.248 EDOs con morfotipo asignado).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500"/>
        <w:gridCol w:w="1550"/>
        <w:gridCol w:w="1550"/>
        <w:gridCol w:w="2272"/>
      </w:tblGrid>
      <w:tr>
        <w:trPr>
          <w:tblHeader/>
        </w:trPr>
        <w:tc>
          <w:tcPr>
            <w:tcW w:type="dxa" w:w="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w:t>
            </w:r>
          </w:p>
        </w:tc>
        <w:tc>
          <w:tcPr>
            <w:tcW w:type="dxa" w:w="13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total</w:t>
            </w:r>
          </w:p>
        </w:tc>
        <w:tc>
          <w:tcPr>
            <w:tcW w:type="dxa" w:w="155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Nadir ΔSpO₂ (media)</w:t>
            </w:r>
          </w:p>
        </w:tc>
        <w:tc>
          <w:tcPr>
            <w:tcW w:type="dxa" w:w="155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Posición nadir</w:t>
            </w:r>
          </w:p>
        </w:tc>
        <w:tc>
          <w:tcPr>
            <w:tcW w:type="dxa" w:w="22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fisiológico</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54.326</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64,5 %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-1,7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55 % del evento</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Subcrítico — caída mínima, simétrica</w:t>
            </w:r>
          </w:p>
        </w:tc>
      </w:tr>
      <w:tr>
        <w:tc>
          <w:tcPr>
            <w:tcW w:type="dxa" w:w="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3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21.146</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25,1 %</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-4,1 pp</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~50 %</w:t>
            </w:r>
          </w:p>
        </w:tc>
        <w:tc>
          <w:tcPr>
            <w:tcW w:type="dxa" w:w="22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Leve-moderado — caída sostenida con recuperación completa</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3.599</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-7,2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~55 %</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 agudo — caída profunda rápida con recuperación abrupta</w:t>
            </w:r>
          </w:p>
        </w:tc>
      </w:tr>
      <w:tr>
        <w:tc>
          <w:tcPr>
            <w:tcW w:type="dxa" w:w="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3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4.377</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-8,5 pp</w:t>
            </w:r>
          </w:p>
        </w:tc>
        <w:tc>
          <w:tcPr>
            <w:tcW w:type="dxa" w:w="155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~60 %</w:t>
            </w:r>
          </w:p>
        </w:tc>
        <w:tc>
          <w:tcPr>
            <w:tcW w:type="dxa" w:w="22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Severo escalonado — caída asimétrica, recuperación lenta</w:t>
            </w:r>
          </w:p>
        </w:tc>
      </w:tr>
      <w:tr>
        <w:tc>
          <w:tcPr>
            <w:tcW w:type="dxa" w:w="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3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800</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-10,1 pp</w:t>
            </w:r>
          </w:p>
        </w:tc>
        <w:tc>
          <w:tcPr>
            <w:tcW w:type="dxa" w:w="155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&gt; 65 %</w:t>
            </w:r>
          </w:p>
        </w:tc>
        <w:tc>
          <w:tcPr>
            <w:tcW w:type="dxa" w:w="22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Progresivo crítico — caída máxima sin retorno a la línea de base</w:t>
            </w:r>
          </w:p>
        </w:tc>
      </w:tr>
    </w:tbl>
    <w:p>
      <w:pPr>
        <w:spacing w:after="200" w:before="60"/>
        <w:jc w:val="center"/>
      </w:pPr>
      <w:r>
        <w:rPr>
          <w:rFonts w:ascii="Arial" w:cs="Arial" w:eastAsia="Arial" w:hAnsi="Arial"/>
          <w:i/>
          <w:iCs/>
          <w:color w:val="444444"/>
          <w:sz w:val="18"/>
          <w:szCs w:val="18"/>
        </w:rPr>
        <w:t xml:space="preserve">Nota. Nadir ΔSpO₂: caída máxima respecto al baseline local (media, puntos porcentuales). Posición nadir: instante del nadir como porcentaje de la duración total del evento. pp: puntos porcentuales.</w:t>
      </w:r>
    </w:p>
    <w:p>
      <w:pPr>
        <w:spacing w:after="80"/>
      </w:pPr>
      <w:r>
        <w:t xml:space="preserve"/>
      </w:r>
    </w:p>
    <w:p>
      <w:pPr>
        <w:pStyle w:val="Heading3"/>
        <w:spacing w:after="100" w:before="220"/>
      </w:pPr>
      <w:r>
        <w:rPr>
          <w:rFonts w:ascii="Arial" w:cs="Arial" w:eastAsia="Arial" w:hAnsi="Arial"/>
          <w:b/>
          <w:bCs/>
          <w:color w:val="2C4E72"/>
          <w:sz w:val="24"/>
          <w:szCs w:val="24"/>
        </w:rPr>
        <w:t xml:space="preserve">4.2.3  Distribución de morfotipos y carga hipóxica acumulada</w:t>
      </w:r>
    </w:p>
    <w:p>
      <w:pPr>
        <w:spacing w:after="160" w:line="276" w:lineRule="auto"/>
        <w:jc w:val="both"/>
      </w:pPr>
      <w:r>
        <w:rPr>
          <w:rFonts w:ascii="Arial" w:cs="Arial" w:eastAsia="Arial" w:hAnsi="Arial"/>
          <w:sz w:val="22"/>
          <w:szCs w:val="22"/>
        </w:rPr>
        <w:t xml:space="preserve">Los morfotipos severos C4 y C5 concentraron 5.177 eventos (6,1 % del corpus), cifra que podría subestimar su impacto real: al calcular la carga hipóxica (</w:t>
      </w:r>
      <w:r>
        <w:rPr>
          <w:rFonts w:ascii="Arial" w:cs="Arial" w:eastAsia="Arial" w:hAnsi="Arial"/>
          <w:i/>
          <w:iCs/>
          <w:sz w:val="22"/>
          <w:szCs w:val="22"/>
        </w:rPr>
        <w:t xml:space="preserve">hypoxic burden</w:t>
      </w:r>
      <w:r>
        <w:rPr>
          <w:rFonts w:ascii="Arial" w:cs="Arial" w:eastAsia="Arial" w:hAnsi="Arial"/>
          <w:sz w:val="22"/>
          <w:szCs w:val="22"/>
        </w:rP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rFonts w:ascii="Arial" w:cs="Arial" w:eastAsia="Arial" w:hAnsi="Arial"/>
          <w:i/>
          <w:iCs/>
          <w:sz w:val="22"/>
          <w:szCs w:val="22"/>
        </w:rPr>
        <w:t xml:space="preserve">baseline</w:t>
      </w:r>
      <w:r>
        <w:rPr>
          <w:rFonts w:ascii="Arial" w:cs="Arial" w:eastAsia="Arial" w:hAnsi="Arial"/>
          <w:sz w:val="22"/>
          <w:szCs w:val="22"/>
        </w:rPr>
        <w:t xml:space="preserve">— representó apenas el 0,9 % de los eventos pero presumiblemente la fracción más crítica de la carga hipóxica nocturna.</w:t>
      </w:r>
    </w:p>
    <w:p>
      <w:pPr>
        <w:pStyle w:val="Heading3"/>
        <w:spacing w:after="100" w:before="220"/>
      </w:pPr>
      <w:r>
        <w:rPr>
          <w:rFonts w:ascii="Arial" w:cs="Arial" w:eastAsia="Arial" w:hAnsi="Arial"/>
          <w:b/>
          <w:bCs/>
          <w:color w:val="2C4E72"/>
          <w:sz w:val="24"/>
          <w:szCs w:val="24"/>
        </w:rPr>
        <w:t xml:space="preserve">4.2.4  Intervalo inter-evento</w:t>
      </w:r>
    </w:p>
    <w:p>
      <w:pPr>
        <w:spacing w:after="160" w:line="276" w:lineRule="auto"/>
        <w:jc w:val="both"/>
      </w:pPr>
      <w:r>
        <w:rPr>
          <w:rFonts w:ascii="Arial" w:cs="Arial" w:eastAsia="Arial" w:hAnsi="Arial"/>
          <w:sz w:val="22"/>
          <w:szCs w:val="22"/>
        </w:rPr>
        <w:t xml:space="preserve">El intervalo inter-evento (IEI) mediano fue de 82 segundos, con el 62,8 % de los pares de eventos consecutivos separados por menos de 2 minutos. Esta distribución sugiere que la apnea obstructiva del sueño se organiza en episodios agrupados más que en eventos aislados, consistente con la descripción de "trenes apneicos" documentada en la literatura (Oliven et al., 2020). El patrón de agrupación temporal también podría tener implicancias para los modelos de predicción de próximo evento (Capítulo 6), dado que la ocurrencia reciente de un EDO constituye un predictor del siguiente.</w:t>
      </w:r>
    </w:p>
    <w:p>
      <w:pPr>
        <w:pStyle w:val="Heading3"/>
        <w:spacing w:after="100" w:before="220"/>
      </w:pPr>
      <w:r>
        <w:rPr>
          <w:rFonts w:ascii="Arial" w:cs="Arial" w:eastAsia="Arial" w:hAnsi="Arial"/>
          <w:b/>
          <w:bCs/>
          <w:color w:val="2C4E72"/>
          <w:sz w:val="24"/>
          <w:szCs w:val="24"/>
        </w:rPr>
        <w:t xml:space="preserve">4.2.5  Correspondencia con morfotipos escalares (α–δ)</w:t>
      </w:r>
    </w:p>
    <w:p>
      <w:pPr>
        <w:spacing w:after="160" w:line="276" w:lineRule="auto"/>
        <w:jc w:val="both"/>
      </w:pPr>
      <w:r>
        <w:rPr>
          <w:rFonts w:ascii="Arial" w:cs="Arial" w:eastAsia="Arial" w:hAnsi="Arial"/>
          <w:sz w:val="22"/>
          <w:szCs w:val="22"/>
        </w:rPr>
        <w:t xml:space="preserve">El pipeline PAC_v3 cuenta con dos sistemas de morfotipos: el </w:t>
      </w:r>
      <w:r>
        <w:rPr>
          <w:rFonts w:ascii="Arial" w:cs="Arial" w:eastAsia="Arial" w:hAnsi="Arial"/>
          <w:i/>
          <w:iCs/>
          <w:sz w:val="22"/>
          <w:szCs w:val="22"/>
        </w:rPr>
        <w:t xml:space="preserve">data-driven</w:t>
      </w:r>
      <w:r>
        <w:rPr>
          <w:rFonts w:ascii="Arial" w:cs="Arial" w:eastAsia="Arial" w:hAnsi="Arial"/>
          <w:sz w:val="22"/>
          <w:szCs w:val="22"/>
        </w:rPr>
        <w:t xml:space="preserve"> de curva (C1–C5, objeto de este capítulo) y el basado en reglas escalares (α/β/γ/δ, construido sobre 10 </w:t>
      </w:r>
      <w:r>
        <w:rPr>
          <w:rFonts w:ascii="Arial" w:cs="Arial" w:eastAsia="Arial" w:hAnsi="Arial"/>
          <w:i/>
          <w:iCs/>
          <w:sz w:val="22"/>
          <w:szCs w:val="22"/>
        </w:rPr>
        <w:t xml:space="preserve">features</w:t>
      </w:r>
      <w:r>
        <w:rPr>
          <w:rFonts w:ascii="Arial" w:cs="Arial" w:eastAsia="Arial" w:hAnsi="Arial"/>
          <w:sz w:val="22"/>
          <w:szCs w:val="22"/>
        </w:rPr>
        <w:t xml:space="preserve"> morfológicas resumen). La Tabla 4.3 muestra el </w:t>
      </w:r>
      <w:r>
        <w:rPr>
          <w:rFonts w:ascii="Arial" w:cs="Arial" w:eastAsia="Arial" w:hAnsi="Arial"/>
          <w:i/>
          <w:iCs/>
          <w:sz w:val="22"/>
          <w:szCs w:val="22"/>
        </w:rPr>
        <w:t xml:space="preserve">overlap</w:t>
      </w:r>
      <w:r>
        <w:rPr>
          <w:rFonts w:ascii="Arial" w:cs="Arial" w:eastAsia="Arial" w:hAnsi="Arial"/>
          <w:sz w:val="22"/>
          <w:szCs w:val="22"/>
        </w:rPr>
        <w:t xml:space="preserve"> entre ambos sistemas. La convergencia más notable fue la del morfotipo γ </w:t>
      </w:r>
      <w:r>
        <w:rPr>
          <w:rFonts w:ascii="Arial" w:cs="Arial" w:eastAsia="Arial" w:hAnsi="Arial"/>
          <w:i/>
          <w:iCs/>
          <w:sz w:val="22"/>
          <w:szCs w:val="22"/>
        </w:rPr>
        <w:t xml:space="preserve">rule-based</w:t>
      </w:r>
      <w:r>
        <w:rPr>
          <w:rFonts w:ascii="Arial" w:cs="Arial" w:eastAsia="Arial" w:hAnsi="Arial"/>
          <w:sz w:val="22"/>
          <w:szCs w:val="22"/>
        </w:rPr>
        <w:t xml:space="preserve">, que concentró C4 y C5 del sistema de curvas (36 % y 26 %, respectivamente). Sin embargo, γ incluyó también un 33 % de eventos C3, mostrando fronteras más difusas que las del sistema de curva. El morfotipo δ </w:t>
      </w:r>
      <w:r>
        <w:rPr>
          <w:rFonts w:ascii="Arial" w:cs="Arial" w:eastAsia="Arial" w:hAnsi="Arial"/>
          <w:i/>
          <w:iCs/>
          <w:sz w:val="22"/>
          <w:szCs w:val="22"/>
        </w:rPr>
        <w:t xml:space="preserve">rule-based</w:t>
      </w:r>
      <w:r>
        <w:rPr>
          <w:rFonts w:ascii="Arial" w:cs="Arial" w:eastAsia="Arial" w:hAnsi="Arial"/>
          <w:sz w:val="22"/>
          <w:szCs w:val="22"/>
        </w:rPr>
        <w:t xml:space="preserve">, con 60.878 eventos, careció de correspondencia morfológica limpia, lo que reforzó la decisión de priorizar los </w:t>
      </w:r>
      <w:r>
        <w:rPr>
          <w:rFonts w:ascii="Arial" w:cs="Arial" w:eastAsia="Arial" w:hAnsi="Arial"/>
          <w:i/>
          <w:iCs/>
          <w:sz w:val="22"/>
          <w:szCs w:val="22"/>
        </w:rPr>
        <w:t xml:space="preserve">C-labels</w:t>
      </w:r>
      <w:r>
        <w:rPr>
          <w:rFonts w:ascii="Arial" w:cs="Arial" w:eastAsia="Arial" w:hAnsi="Arial"/>
          <w:sz w:val="22"/>
          <w:szCs w:val="22"/>
        </w:rPr>
        <w:t xml:space="preserve"> como referencia para los análisis de severidad.</w:t>
      </w:r>
    </w:p>
    <w:p>
      <w:pPr>
        <w:spacing w:after="80"/>
      </w:pPr>
      <w:r>
        <w:t xml:space="preserve"/>
      </w:r>
    </w:p>
    <w:p>
      <w:pPr>
        <w:spacing w:after="80" w:before="80"/>
        <w:jc w:val="center"/>
      </w:pPr>
      <w:r>
        <w:rPr>
          <w:rFonts w:ascii="Arial" w:cs="Arial" w:eastAsia="Arial" w:hAnsi="Arial"/>
          <w:b/>
          <w:bCs/>
          <w:sz w:val="18"/>
          <w:szCs w:val="18"/>
        </w:rPr>
        <w:t xml:space="preserve">Tabla 4.3. Correspondencia entre morfotipos rule-based (α–δ) y morfotipos de curva (C1–C5).</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3972"/>
      </w:tblGrid>
      <w:tr>
        <w:trPr>
          <w:tblHeader/>
        </w:trPr>
        <w:tc>
          <w:tcPr>
            <w:tcW w:type="dxa" w:w="14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Morfotipo rule-based</w:t>
            </w:r>
          </w:p>
        </w:tc>
        <w:tc>
          <w:tcPr>
            <w:tcW w:type="dxa" w:w="14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eventos</w:t>
            </w:r>
          </w:p>
        </w:tc>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Alineación principal</w:t>
            </w:r>
          </w:p>
        </w:tc>
        <w:tc>
          <w:tcPr>
            <w:tcW w:type="dxa" w:w="39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α</w:t>
            </w:r>
          </w:p>
        </w:tc>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54.714</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C1 (92,5 %)</w:t>
            </w:r>
          </w:p>
        </w:tc>
        <w:tc>
          <w:tcPr>
            <w:tcW w:type="dxa" w:w="3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Corresponde casi en su totalidad al pool subcrítico mayoritario</w:t>
            </w:r>
          </w:p>
        </w:tc>
      </w:tr>
      <w:tr>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β</w:t>
            </w:r>
          </w:p>
        </w:tc>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8.795</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C2 (57 %), C3 (19 %)</w:t>
            </w:r>
          </w:p>
        </w:tc>
        <w:tc>
          <w:tcPr>
            <w:tcW w:type="dxa" w:w="3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EDOs leve-moderados con variabilidad de forma</w:t>
            </w:r>
          </w:p>
        </w:tc>
      </w:tr>
      <w:tr>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γ</w:t>
            </w:r>
          </w:p>
        </w:tc>
        <w:tc>
          <w:tcPr>
            <w:tcW w:type="dxa" w:w="14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2.892</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C4 (36 %), C5 (26 %), C3 (33 %)</w:t>
            </w:r>
          </w:p>
        </w:tc>
        <w:tc>
          <w:tcPr>
            <w:tcW w:type="dxa" w:w="3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Concentra los eventos más severos — mayor carga hipóxica acumulada</w:t>
            </w:r>
          </w:p>
        </w:tc>
      </w:tr>
      <w:tr>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δ</w:t>
            </w:r>
          </w:p>
        </w:tc>
        <w:tc>
          <w:tcPr>
            <w:tcW w:type="dxa" w:w="14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60.878</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 C1 mayoritario + C2</w:t>
            </w:r>
          </w:p>
        </w:tc>
        <w:tc>
          <w:tcPr>
            <w:tcW w:type="dxa" w:w="3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Pool heterogéneo sin correspondencia morfológica limpia</w:t>
            </w:r>
          </w:p>
        </w:tc>
      </w:tr>
    </w:tbl>
    <w:p>
      <w:pPr>
        <w:spacing w:after="200" w:before="60"/>
        <w:jc w:val="center"/>
      </w:pPr>
      <w:r>
        <w:rPr>
          <w:rFonts w:ascii="Arial" w:cs="Arial" w:eastAsia="Arial" w:hAnsi="Arial"/>
          <w:i/>
          <w:iCs/>
          <w:color w:val="444444"/>
          <w:sz w:val="18"/>
          <w:szCs w:val="18"/>
        </w:rPr>
        <w:t xml:space="preserve">Nota. Los porcentajes en la columna de alineación principal indican la fracción de eventos del morfotipo rule-based que pertenecen al morfotipo de curva indicado.</w:t>
      </w:r>
    </w:p>
    <w:p>
      <w:pPr>
        <w:spacing w:after="80"/>
      </w:pPr>
      <w:r>
        <w:t xml:space="preserve"/>
      </w:r>
    </w:p>
    <w:p>
      <w:pPr>
        <w:pStyle w:val="Heading3"/>
        <w:spacing w:after="100" w:before="220"/>
      </w:pPr>
      <w:r>
        <w:rPr>
          <w:rFonts w:ascii="Arial" w:cs="Arial" w:eastAsia="Arial" w:hAnsi="Arial"/>
          <w:b/>
          <w:bCs/>
          <w:color w:val="2C4E72"/>
          <w:sz w:val="24"/>
          <w:szCs w:val="24"/>
        </w:rPr>
        <w:t xml:space="preserve">4.2.6  Estabilidad del fenotipado: ICC entre noches</w:t>
      </w:r>
    </w:p>
    <w:p>
      <w:pPr>
        <w:spacing w:after="160" w:line="276" w:lineRule="auto"/>
        <w:jc w:val="both"/>
      </w:pPr>
      <w:r>
        <w:rPr>
          <w:rFonts w:ascii="Arial" w:cs="Arial" w:eastAsia="Arial" w:hAnsi="Arial"/>
          <w:sz w:val="22"/>
          <w:szCs w:val="22"/>
        </w:rPr>
        <w:t xml:space="preserve">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pPr>
        <w:spacing w:after="80"/>
      </w:pPr>
      <w:r>
        <w:t xml:space="preserve"/>
      </w:r>
    </w:p>
    <w:p>
      <w:pPr>
        <w:spacing w:after="80" w:before="80"/>
        <w:jc w:val="center"/>
      </w:pPr>
      <w:r>
        <w:rPr>
          <w:rFonts w:ascii="Arial" w:cs="Arial" w:eastAsia="Arial" w:hAnsi="Arial"/>
          <w:b/>
          <w:bCs/>
          <w:sz w:val="18"/>
          <w:szCs w:val="18"/>
        </w:rPr>
        <w:t xml:space="preserve">Tabla 4.4. Estabilidad inter-noche de las fracciones de morfotipo. ICC(1,1) calculado sobre cohorte completa.</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772"/>
      </w:tblGrid>
      <w:tr>
        <w:trPr>
          <w:tblHeader/>
        </w:trPr>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Morfotipo</w:t>
            </w:r>
          </w:p>
        </w:tc>
        <w:tc>
          <w:tcPr>
            <w:tcW w:type="dxa" w:w="1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ICC(1,1)</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c>
          <w:tcPr>
            <w:tcW w:type="dxa" w:w="27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0,594</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Fracción nocturna reproducible — el morfotipo mayoritario</w:t>
            </w:r>
          </w:p>
        </w:tc>
      </w:tr>
      <w:tr>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0,684</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Moderado-bueno</w:t>
            </w:r>
          </w:p>
        </w:tc>
        <w:tc>
          <w:tcPr>
            <w:tcW w:type="dxa" w:w="2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El morfotipo más estable; útil como referencia longitudinal</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0,403</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Alta variabilidad intra-paciente; eventos raros por noche</w:t>
            </w:r>
          </w:p>
        </w:tc>
      </w:tr>
      <w:tr>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0,461</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w:t>
            </w:r>
          </w:p>
        </w:tc>
        <w:tc>
          <w:tcPr>
            <w:tcW w:type="dxa" w:w="27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Algo más estable que C3 pese a menor prevalencia media</w:t>
            </w:r>
          </w:p>
        </w:tc>
      </w:tr>
      <w:tr>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0,510</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w:t>
            </w:r>
          </w:p>
        </w:tc>
        <w:tc>
          <w:tcPr>
            <w:tcW w:type="dxa" w:w="27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Clustering compacto compensa la escasez; el mayor ICC entre los severos</w:t>
            </w:r>
          </w:p>
        </w:tc>
      </w:tr>
    </w:tbl>
    <w:p>
      <w:pPr>
        <w:spacing w:after="200" w:before="60"/>
        <w:jc w:val="center"/>
      </w:pPr>
      <w:r>
        <w:rPr>
          <w:rFonts w:ascii="Arial" w:cs="Arial" w:eastAsia="Arial" w:hAnsi="Arial"/>
          <w:i/>
          <w:iCs/>
          <w:color w:val="444444"/>
          <w:sz w:val="18"/>
          <w:szCs w:val="18"/>
        </w:rPr>
        <w:t xml:space="preserve">Nota. ICC(1,1): coeficiente de correlación intraclase modelo 1. Criterios de interpretación: &lt; 0,50 = pobre; 0,50–0,75 = moderado; 0,75–0,90 = bueno; &gt; 0,90 = excelente (Koo &amp; Li, 2016). Cálculo sobre fracciones nocturnas medias de gold/nights.parquet, cohorte full (12 pacientes).</w:t>
      </w:r>
    </w:p>
    <w:p>
      <w:pPr>
        <w:spacing w:after="80"/>
      </w:pPr>
      <w:r>
        <w:t xml:space="preserve"/>
      </w:r>
    </w:p>
    <w:p>
      <w:pPr>
        <w:pStyle w:val="Heading2"/>
        <w:spacing w:after="160" w:before="300"/>
      </w:pPr>
      <w:r>
        <w:rPr>
          <w:rFonts w:ascii="Arial" w:cs="Arial" w:eastAsia="Arial" w:hAnsi="Arial"/>
          <w:b/>
          <w:bCs/>
          <w:color w:val="1E3A5F"/>
          <w:sz w:val="28"/>
          <w:szCs w:val="28"/>
        </w:rPr>
        <w:t xml:space="preserve">4.3  Diagnóstico del IRD y definición del ARI (NB02)</w:t>
      </w:r>
    </w:p>
    <w:p>
      <w:pPr>
        <w:spacing w:after="160" w:line="276" w:lineRule="auto"/>
        <w:jc w:val="both"/>
      </w:pPr>
      <w:r>
        <w:rPr>
          <w:rFonts w:ascii="Arial" w:cs="Arial" w:eastAsia="Arial" w:hAnsi="Arial"/>
          <w:sz w:val="22"/>
          <w:szCs w:val="22"/>
        </w:rPr>
        <w:t xml:space="preserve">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Respuesta Autonómica (ARI) como alternativa validada.</w:t>
      </w:r>
    </w:p>
    <w:p>
      <w:pPr>
        <w:pStyle w:val="Heading3"/>
        <w:spacing w:after="100" w:before="220"/>
      </w:pPr>
      <w:r>
        <w:rPr>
          <w:rFonts w:ascii="Arial" w:cs="Arial" w:eastAsia="Arial" w:hAnsi="Arial"/>
          <w:b/>
          <w:bCs/>
          <w:color w:val="2C4E72"/>
          <w:sz w:val="24"/>
          <w:szCs w:val="24"/>
        </w:rPr>
        <w:t xml:space="preserve">4.3.1  Bug de escala en el IRD original</w:t>
      </w:r>
    </w:p>
    <w:p>
      <w:pPr>
        <w:spacing w:after="160" w:line="276" w:lineRule="auto"/>
        <w:jc w:val="both"/>
      </w:pPr>
      <w:r>
        <w:rPr>
          <w:rFonts w:ascii="Arial" w:cs="Arial" w:eastAsia="Arial" w:hAnsi="Arial"/>
          <w:sz w:val="22"/>
          <w:szCs w:val="22"/>
        </w:rPr>
        <w:t xml:space="preserve">El IRD original se formuló como: IRD = 0,5 × SpO₂</w:t>
      </w:r>
      <w:r>
        <w:rPr>
          <w:rFonts w:ascii="Arial" w:cs="Arial" w:eastAsia="Arial" w:hAnsi="Arial"/>
          <w:i/>
          <w:iCs/>
          <w:sz w:val="22"/>
          <w:szCs w:val="22"/>
        </w:rPr>
        <w:t xml:space="preserve">_comp</w:t>
      </w:r>
      <w:r>
        <w:rPr>
          <w:rFonts w:ascii="Arial" w:cs="Arial" w:eastAsia="Arial" w:hAnsi="Arial"/>
          <w:sz w:val="22"/>
          <w:szCs w:val="22"/>
        </w:rPr>
        <w:t xml:space="preserve"> + 0,3 × HR</w:t>
      </w:r>
      <w:r>
        <w:rPr>
          <w:rFonts w:ascii="Arial" w:cs="Arial" w:eastAsia="Arial" w:hAnsi="Arial"/>
          <w:i/>
          <w:iCs/>
          <w:sz w:val="22"/>
          <w:szCs w:val="22"/>
        </w:rPr>
        <w:t xml:space="preserve">_comp</w:t>
      </w:r>
      <w:r>
        <w:rPr>
          <w:rFonts w:ascii="Arial" w:cs="Arial" w:eastAsia="Arial" w:hAnsi="Arial"/>
          <w:sz w:val="22"/>
          <w:szCs w:val="22"/>
        </w:rPr>
        <w:t xml:space="preserve"> + 0,2 × MOV</w:t>
      </w:r>
      <w:r>
        <w:rPr>
          <w:rFonts w:ascii="Arial" w:cs="Arial" w:eastAsia="Arial" w:hAnsi="Arial"/>
          <w:i/>
          <w:iCs/>
          <w:sz w:val="22"/>
          <w:szCs w:val="22"/>
        </w:rPr>
        <w:t xml:space="preserve">_comp</w:t>
      </w:r>
      <w:r>
        <w:rPr>
          <w:rFonts w:ascii="Arial" w:cs="Arial" w:eastAsia="Arial" w:hAnsi="Arial"/>
          <w:sz w:val="22"/>
          <w:szCs w:val="22"/>
        </w:rP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rFonts w:ascii="Arial" w:cs="Arial" w:eastAsia="Arial" w:hAnsi="Arial"/>
          <w:i/>
          <w:iCs/>
          <w:sz w:val="22"/>
          <w:szCs w:val="22"/>
        </w:rPr>
        <w:t xml:space="preserve">config.py</w:t>
      </w:r>
      <w:r>
        <w:rPr>
          <w:rFonts w:ascii="Arial" w:cs="Arial" w:eastAsia="Arial" w:hAnsi="Arial"/>
          <w:sz w:val="22"/>
          <w:szCs w:val="22"/>
        </w:rPr>
        <w:t xml:space="preserve"> y se mantuvo para compatibilidad retrospectiva como </w:t>
      </w:r>
      <w:r>
        <w:rPr>
          <w:rFonts w:ascii="Arial" w:cs="Arial" w:eastAsia="Arial" w:hAnsi="Arial"/>
          <w:i/>
          <w:iCs/>
          <w:sz w:val="22"/>
          <w:szCs w:val="22"/>
        </w:rPr>
        <w:t xml:space="preserve">ird_event</w:t>
      </w:r>
      <w:r>
        <w:rPr>
          <w:rFonts w:ascii="Arial" w:cs="Arial" w:eastAsia="Arial" w:hAnsi="Arial"/>
          <w:sz w:val="22"/>
          <w:szCs w:val="22"/>
        </w:rPr>
        <w:t xml:space="preserve">, mientras que una versión corregida (IRD_v2, con percentilización por componente) se incluyó como variable auxiliar en la matriz nocturna.</w:t>
      </w:r>
    </w:p>
    <w:p>
      <w:pPr>
        <w:spacing w:after="80"/>
      </w:pPr>
      <w:r>
        <w:t xml:space="preserve"/>
      </w:r>
    </w:p>
    <w:p>
      <w:pPr>
        <w:spacing w:after="80" w:before="80"/>
        <w:jc w:val="center"/>
      </w:pPr>
      <w:r>
        <w:rPr>
          <w:rFonts w:ascii="Arial" w:cs="Arial" w:eastAsia="Arial" w:hAnsi="Arial"/>
          <w:b/>
          <w:bCs/>
          <w:sz w:val="18"/>
          <w:szCs w:val="18"/>
        </w:rPr>
        <w:t xml:space="preserve">Tabla 4.5. Contribución efectiva de cada componente al IRD original (N = 84.248 EDOs in_quality).</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700"/>
        <w:gridCol w:w="1872"/>
      </w:tblGrid>
      <w:tr>
        <w:trPr>
          <w:tblHeader/>
        </w:trPr>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Fórmula</w:t>
            </w:r>
          </w:p>
        </w:tc>
        <w:tc>
          <w:tcPr>
            <w:tcW w:type="dxa" w:w="16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 (μ)</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efectivo real</w:t>
            </w:r>
          </w:p>
        </w:tc>
        <w:tc>
          <w:tcPr>
            <w:tcW w:type="dxa" w:w="18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Peso nominal</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SpO₂</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drop_pct / baseline_spo2</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0,052</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8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50 %</w:t>
            </w:r>
          </w:p>
        </w:tc>
      </w:tr>
      <w:tr>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FC (HR)</w:t>
            </w:r>
          </w:p>
        </w:tc>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delta_hr_bpm / baseline_hr_bpm</w:t>
            </w:r>
          </w:p>
        </w:tc>
        <w:tc>
          <w:tcPr>
            <w:tcW w:type="dxa" w:w="16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0,050</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0,5 %</w:t>
            </w:r>
          </w:p>
        </w:tc>
        <w:tc>
          <w:tcPr>
            <w:tcW w:type="dxa" w:w="18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30 %</w:t>
            </w:r>
          </w:p>
        </w:tc>
      </w:tr>
      <w:tr>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Movimiento (MOV)</w:t>
            </w:r>
          </w:p>
        </w:tc>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(peak_mov − baseline_mov) / (baseline_mov + 0,01)</w:t>
            </w:r>
          </w:p>
        </w:tc>
        <w:tc>
          <w:tcPr>
            <w:tcW w:type="dxa" w:w="16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13,72</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98,5 %  (!)</w:t>
            </w:r>
          </w:p>
        </w:tc>
        <w:tc>
          <w:tcPr>
            <w:tcW w:type="dxa" w:w="18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20 %</w:t>
            </w:r>
          </w:p>
        </w:tc>
      </w:tr>
    </w:tbl>
    <w:p>
      <w:pPr>
        <w:spacing w:after="200" w:before="60"/>
        <w:jc w:val="center"/>
      </w:pPr>
      <w:r>
        <w:rPr>
          <w:rFonts w:ascii="Arial" w:cs="Arial" w:eastAsia="Arial" w:hAnsi="Arial"/>
          <w:i/>
          <w:iCs/>
          <w:color w:val="444444"/>
          <w:sz w:val="18"/>
          <w:szCs w:val="18"/>
        </w:rPr>
        <w:t xml:space="preserve">Nota. El peso efectivo real se calculó como la fracción de varianza del IRD explicada por cada componente antes de la ponderación. La diferencia de escala entre spo2_comp / hr_comp (rango 0,03–0,18) y mov_comp (rango 0,5–100) causó el desequilibrio observado.</w:t>
      </w:r>
    </w:p>
    <w:p>
      <w:pPr>
        <w:spacing w:after="80"/>
      </w:pPr>
      <w:r>
        <w:t xml:space="preserve"/>
      </w:r>
    </w:p>
    <w:p>
      <w:pPr>
        <w:pStyle w:val="Heading3"/>
        <w:spacing w:after="100" w:before="220"/>
      </w:pPr>
      <w:r>
        <w:rPr>
          <w:rFonts w:ascii="Arial" w:cs="Arial" w:eastAsia="Arial" w:hAnsi="Arial"/>
          <w:b/>
          <w:bCs/>
          <w:color w:val="2C4E72"/>
          <w:sz w:val="24"/>
          <w:szCs w:val="24"/>
        </w:rPr>
        <w:t xml:space="preserve">4.3.2  Propiedades empíricas del ARI</w:t>
      </w:r>
    </w:p>
    <w:p>
      <w:pPr>
        <w:spacing w:after="160" w:line="276" w:lineRule="auto"/>
        <w:jc w:val="both"/>
      </w:pPr>
      <w:r>
        <w:rPr>
          <w:rFonts w:ascii="Arial" w:cs="Arial" w:eastAsia="Arial" w:hAnsi="Arial"/>
          <w:sz w:val="22"/>
          <w:szCs w:val="22"/>
        </w:rPr>
        <w:t xml:space="preserve">A partir del diagnóstico del IRD, se definió el ARI (Índice de Respuesta Autonómica) —cuya fórmula exacta se explicitó en §3.4— como un cociente respuesta/estímulo percentilizado a nivel de corpus. La propiedad más destacada del ARI en esta cohorte fue su escasa correlación con la severidad hipóxica: la correlación de Spearman entre el ARI y la profundidad de la caída de SpO₂ (</w:t>
      </w:r>
      <w:r>
        <w:rPr>
          <w:rFonts w:ascii="Arial" w:cs="Arial" w:eastAsia="Arial" w:hAnsi="Arial"/>
          <w:i/>
          <w:iCs/>
          <w:sz w:val="22"/>
          <w:szCs w:val="22"/>
        </w:rPr>
        <w:t xml:space="preserve">drop_pct</w:t>
      </w:r>
      <w:r>
        <w:rPr>
          <w:rFonts w:ascii="Arial" w:cs="Arial" w:eastAsia="Arial" w:hAnsi="Arial"/>
          <w:sz w:val="22"/>
          <w:szCs w:val="22"/>
        </w:rPr>
        <w:t xml:space="preserve">)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eficiencia de la respuesta autonómica ante el estímulo hipóxico.</w:t>
      </w:r>
    </w:p>
    <w:p>
      <w:pPr>
        <w:pStyle w:val="Heading3"/>
        <w:spacing w:after="100" w:before="220"/>
      </w:pPr>
      <w:r>
        <w:rPr>
          <w:rFonts w:ascii="Arial" w:cs="Arial" w:eastAsia="Arial" w:hAnsi="Arial"/>
          <w:b/>
          <w:bCs/>
          <w:color w:val="2C4E72"/>
          <w:sz w:val="24"/>
          <w:szCs w:val="24"/>
        </w:rPr>
        <w:t xml:space="preserve">4.3.3  Perfil autonómico por morfotipo y el paradox del C5</w:t>
      </w:r>
    </w:p>
    <w:p>
      <w:pPr>
        <w:spacing w:after="160" w:line="276" w:lineRule="auto"/>
        <w:jc w:val="both"/>
      </w:pPr>
      <w:r>
        <w:rPr>
          <w:rFonts w:ascii="Arial" w:cs="Arial" w:eastAsia="Arial" w:hAnsi="Arial"/>
          <w:sz w:val="22"/>
          <w:szCs w:val="22"/>
        </w:rPr>
        <w:t xml:space="preserve">La Tabla 4.6 resume los valores del ARI y la ganancia de FC por morfotipo. El hallazgo más llamativo fue el </w:t>
      </w:r>
      <w:r>
        <w:rPr>
          <w:rFonts w:ascii="Arial" w:cs="Arial" w:eastAsia="Arial" w:hAnsi="Arial"/>
          <w:i/>
          <w:iCs/>
          <w:sz w:val="22"/>
          <w:szCs w:val="22"/>
        </w:rPr>
        <w:t xml:space="preserve">gradiente autonómico inverso</w:t>
      </w:r>
      <w:r>
        <w:rPr>
          <w:rFonts w:ascii="Arial" w:cs="Arial" w:eastAsia="Arial" w:hAnsi="Arial"/>
          <w:sz w:val="22"/>
          <w:szCs w:val="22"/>
        </w:rPr>
        <w:t xml:space="preserve">: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w:t>
      </w:r>
    </w:p>
    <w:p>
      <w:pPr>
        <w:spacing w:after="160" w:line="276" w:lineRule="auto"/>
        <w:jc w:val="both"/>
      </w:pPr>
      <w:r>
        <w:rPr>
          <w:rFonts w:ascii="Arial" w:cs="Arial" w:eastAsia="Arial" w:hAnsi="Arial"/>
          <w:sz w:val="22"/>
          <w:szCs w:val="22"/>
        </w:rPr>
        <w:t xml:space="preserve">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pPr>
        <w:spacing w:after="80"/>
      </w:pPr>
      <w:r>
        <w:t xml:space="preserve"/>
      </w:r>
    </w:p>
    <w:p>
      <w:pPr>
        <w:spacing w:after="80" w:before="80"/>
        <w:jc w:val="center"/>
      </w:pPr>
      <w:r>
        <w:rPr>
          <w:rFonts w:ascii="Arial" w:cs="Arial" w:eastAsia="Arial" w:hAnsi="Arial"/>
          <w:b/>
          <w:bCs/>
          <w:sz w:val="18"/>
          <w:szCs w:val="18"/>
        </w:rPr>
        <w:t xml:space="preserve">Tabla 4.6. Perfil autonómico por morfotipo de curva SpO₂ (ARI y HR gain mediana, corpus completo).</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700"/>
        <w:gridCol w:w="1700"/>
        <w:gridCol w:w="3172"/>
      </w:tblGrid>
      <w:tr>
        <w:trPr>
          <w:tblHeader/>
        </w:trPr>
        <w:tc>
          <w:tcPr>
            <w:tcW w:type="dxa" w:w="9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Morf.</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Prevalencia</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ARI (μ ± σ)</w:t>
            </w:r>
          </w:p>
        </w:tc>
        <w:tc>
          <w:tcPr>
            <w:tcW w:type="dxa" w:w="17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HR gain mediana (lpm/pp)</w:t>
            </w:r>
          </w:p>
        </w:tc>
        <w:tc>
          <w:tcPr>
            <w:tcW w:type="dxa" w:w="31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autonómico</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C1</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64,5 %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0,491 ± 0,205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0,633</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conservada — patrón fisiológico normal</w:t>
            </w:r>
          </w:p>
        </w:tc>
      </w:tr>
      <w:tr>
        <w:tc>
          <w:tcPr>
            <w:tcW w:type="dxa" w:w="9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C2</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25,1 %</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0,526 ± 0,186</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0,528</w:t>
            </w:r>
          </w:p>
        </w:tc>
        <w:tc>
          <w:tcPr>
            <w:tcW w:type="dxa" w:w="3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ligeramente reducida — eventos de mayor duración</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C3</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4,3 %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0,511 ± 0,145</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0,209</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atenuada relativa al estímulo — eventos severos agudos breves</w:t>
            </w:r>
          </w:p>
        </w:tc>
      </w:tr>
      <w:tr>
        <w:tc>
          <w:tcPr>
            <w:tcW w:type="dxa" w:w="9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C4</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5,2 %</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0,490 ± 0,143</w:t>
            </w:r>
          </w:p>
        </w:tc>
        <w:tc>
          <w:tcPr>
            <w:tcW w:type="dxa" w:w="17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0,307</w:t>
            </w:r>
          </w:p>
        </w:tc>
        <w:tc>
          <w:tcPr>
            <w:tcW w:type="dxa" w:w="31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proporcionalmente baja pese a caída severa</w:t>
            </w:r>
          </w:p>
        </w:tc>
      </w:tr>
      <w:tr>
        <w:tc>
          <w:tcPr>
            <w:tcW w:type="dxa" w:w="9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C5</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0,9 %</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0,423 ± 0,104</w:t>
            </w:r>
          </w:p>
        </w:tc>
        <w:tc>
          <w:tcPr>
            <w:tcW w:type="dxa" w:w="17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0,040</w:t>
            </w:r>
          </w:p>
        </w:tc>
        <w:tc>
          <w:tcPr>
            <w:tcW w:type="dxa" w:w="31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Respuesta cardíaca prácticamente nula — compatible con agotamiento autonómico (requiere validación externa)</w:t>
            </w:r>
          </w:p>
        </w:tc>
      </w:tr>
    </w:tbl>
    <w:p>
      <w:pPr>
        <w:spacing w:after="200" w:before="60"/>
        <w:jc w:val="center"/>
      </w:pPr>
      <w:r>
        <w:rPr>
          <w:rFonts w:ascii="Arial" w:cs="Arial" w:eastAsia="Arial" w:hAnsi="Arial"/>
          <w:i/>
          <w:iCs/>
          <w:color w:val="444444"/>
          <w:sz w:val="18"/>
          <w:szCs w:val="18"/>
        </w:rPr>
        <w:t xml:space="preserve">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pPr>
        <w:spacing w:after="80"/>
      </w:pPr>
      <w:r>
        <w:t xml:space="preserve"/>
      </w:r>
    </w:p>
    <w:p>
      <w:pPr>
        <w:pStyle w:val="Heading3"/>
        <w:spacing w:after="100" w:before="220"/>
      </w:pPr>
      <w:r>
        <w:rPr>
          <w:rFonts w:ascii="Arial" w:cs="Arial" w:eastAsia="Arial" w:hAnsi="Arial"/>
          <w:b/>
          <w:bCs/>
          <w:color w:val="2C4E72"/>
          <w:sz w:val="24"/>
          <w:szCs w:val="24"/>
        </w:rPr>
        <w:t xml:space="preserve">4.3.4  Estabilidad inter-noche del ARI</w:t>
      </w:r>
    </w:p>
    <w:p>
      <w:pPr>
        <w:spacing w:after="160" w:line="276" w:lineRule="auto"/>
        <w:jc w:val="both"/>
      </w:pPr>
      <w:r>
        <w:rPr>
          <w:rFonts w:ascii="Arial" w:cs="Arial" w:eastAsia="Arial" w:hAnsi="Arial"/>
          <w:sz w:val="22"/>
          <w:szCs w:val="22"/>
        </w:rP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rFonts w:ascii="Arial" w:cs="Arial" w:eastAsia="Arial" w:hAnsi="Arial"/>
          <w:i/>
          <w:iCs/>
          <w:sz w:val="22"/>
          <w:szCs w:val="22"/>
        </w:rPr>
        <w:t xml:space="preserve">Hypoxic Burden</w:t>
      </w:r>
      <w:r>
        <w:rPr>
          <w:rFonts w:ascii="Arial" w:cs="Arial" w:eastAsia="Arial" w:hAnsi="Arial"/>
          <w:sz w:val="22"/>
          <w:szCs w:val="22"/>
        </w:rPr>
        <w:t xml:space="preserve"> (ICC = 0,41 en cohorte completa) y comparable a la del ODI3 (ICC = 0,71), lo que podría indicar que requiere menos noches de acumulación para ser representativo del perfil del paciente.</w:t>
      </w:r>
    </w:p>
    <w:p>
      <w:pPr>
        <w:spacing w:after="80"/>
      </w:pPr>
      <w:r>
        <w:t xml:space="preserve"/>
      </w:r>
    </w:p>
    <w:p>
      <w:pPr>
        <w:pStyle w:val="Heading2"/>
        <w:spacing w:after="160" w:before="300"/>
      </w:pPr>
      <w:r>
        <w:rPr>
          <w:rFonts w:ascii="Arial" w:cs="Arial" w:eastAsia="Arial" w:hAnsi="Arial"/>
          <w:b/>
          <w:bCs/>
          <w:color w:val="1E3A5F"/>
          <w:sz w:val="28"/>
          <w:szCs w:val="28"/>
        </w:rPr>
        <w:t xml:space="preserve">4.4  Síntesis de features nocturnas derivadas (NB03)</w:t>
      </w:r>
    </w:p>
    <w:p>
      <w:pPr>
        <w:spacing w:after="160" w:line="276" w:lineRule="auto"/>
        <w:jc w:val="both"/>
      </w:pPr>
      <w:r>
        <w:rPr>
          <w:rFonts w:ascii="Arial" w:cs="Arial" w:eastAsia="Arial" w:hAnsi="Arial"/>
          <w:sz w:val="22"/>
          <w:szCs w:val="22"/>
        </w:rPr>
        <w:t xml:space="preserve">Como cierre del análisis de nivel evento, NB03 agregó los morfotipos C1–C5 y el ARI a nivel noche, incorporándolos junto a los 146 índices ya presentes en </w:t>
      </w:r>
      <w:r>
        <w:rPr>
          <w:rFonts w:ascii="Arial" w:cs="Arial" w:eastAsia="Arial" w:hAnsi="Arial"/>
          <w:i/>
          <w:iCs/>
          <w:sz w:val="22"/>
          <w:szCs w:val="22"/>
        </w:rPr>
        <w:t xml:space="preserve">gold/nights.parquet</w:t>
      </w:r>
      <w:r>
        <w:rPr>
          <w:rFonts w:ascii="Arial" w:cs="Arial" w:eastAsia="Arial" w:hAnsi="Arial"/>
          <w:sz w:val="22"/>
          <w:szCs w:val="22"/>
        </w:rPr>
        <w:t xml:space="preserve"> para conformar una matriz de 50 </w:t>
      </w:r>
      <w:r>
        <w:rPr>
          <w:rFonts w:ascii="Arial" w:cs="Arial" w:eastAsia="Arial" w:hAnsi="Arial"/>
          <w:i/>
          <w:iCs/>
          <w:sz w:val="22"/>
          <w:szCs w:val="22"/>
        </w:rPr>
        <w:t xml:space="preserve">features</w:t>
      </w:r>
      <w:r>
        <w:rPr>
          <w:rFonts w:ascii="Arial" w:cs="Arial" w:eastAsia="Arial" w:hAnsi="Arial"/>
          <w:sz w:val="22"/>
          <w:szCs w:val="22"/>
        </w:rPr>
        <w:t xml:space="preserve"> nocturnas (553 noches con al menos un EDO </w:t>
      </w:r>
      <w:r>
        <w:rPr>
          <w:rFonts w:ascii="Arial" w:cs="Arial" w:eastAsia="Arial" w:hAnsi="Arial"/>
          <w:i/>
          <w:iCs/>
          <w:sz w:val="22"/>
          <w:szCs w:val="22"/>
        </w:rPr>
        <w:t xml:space="preserve">in_quality</w:t>
      </w:r>
      <w:r>
        <w:rPr>
          <w:rFonts w:ascii="Arial" w:cs="Arial" w:eastAsia="Arial" w:hAnsi="Arial"/>
          <w:sz w:val="22"/>
          <w:szCs w:val="22"/>
        </w:rPr>
        <w:t xml:space="preserve">). Las correlaciones de Spearman con el ODI3 mostraron que las fracciones de morfotipo contienen información relevante: </w:t>
      </w:r>
      <w:r>
        <w:rPr>
          <w:rFonts w:ascii="Arial" w:cs="Arial" w:eastAsia="Arial" w:hAnsi="Arial"/>
          <w:i/>
          <w:iCs/>
          <w:sz w:val="22"/>
          <w:szCs w:val="22"/>
        </w:rPr>
        <w:t xml:space="preserve">frac_c1</w:t>
      </w:r>
      <w:r>
        <w:rPr>
          <w:rFonts w:ascii="Arial" w:cs="Arial" w:eastAsia="Arial" w:hAnsi="Arial"/>
          <w:sz w:val="22"/>
          <w:szCs w:val="22"/>
        </w:rPr>
        <w:t xml:space="preserve"> presentó ρ = −0,621 (marcador potencialmente protector) y </w:t>
      </w:r>
      <w:r>
        <w:rPr>
          <w:rFonts w:ascii="Arial" w:cs="Arial" w:eastAsia="Arial" w:hAnsi="Arial"/>
          <w:i/>
          <w:iCs/>
          <w:sz w:val="22"/>
          <w:szCs w:val="22"/>
        </w:rPr>
        <w:t xml:space="preserve">frac_c2</w:t>
      </w:r>
      <w:r>
        <w:rPr>
          <w:rFonts w:ascii="Arial" w:cs="Arial" w:eastAsia="Arial" w:hAnsi="Arial"/>
          <w:sz w:val="22"/>
          <w:szCs w:val="22"/>
        </w:rP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rFonts w:ascii="Arial" w:cs="Arial" w:eastAsia="Arial" w:hAnsi="Arial"/>
          <w:i/>
          <w:iCs/>
          <w:sz w:val="22"/>
          <w:szCs w:val="22"/>
        </w:rPr>
        <w:t xml:space="preserve">Hypoxic Burden</w:t>
      </w:r>
      <w:r>
        <w:rPr>
          <w:rFonts w:ascii="Arial" w:cs="Arial" w:eastAsia="Arial" w:hAnsi="Arial"/>
          <w:sz w:val="22"/>
          <w:szCs w:val="22"/>
        </w:rPr>
        <w:t xml:space="preserve"> sobre T90, </w:t>
      </w:r>
      <w:r>
        <w:rPr>
          <w:rFonts w:ascii="Arial" w:cs="Arial" w:eastAsia="Arial" w:hAnsi="Arial"/>
          <w:i/>
          <w:iCs/>
          <w:sz w:val="22"/>
          <w:szCs w:val="22"/>
        </w:rPr>
        <w:t xml:space="preserve">frac_severe_morpho</w:t>
      </w:r>
      <w:r>
        <w:rPr>
          <w:rFonts w:ascii="Arial" w:cs="Arial" w:eastAsia="Arial" w:hAnsi="Arial"/>
          <w:sz w:val="22"/>
          <w:szCs w:val="22"/>
        </w:rPr>
        <w:t xml:space="preserve"> sobre </w:t>
      </w:r>
      <w:r>
        <w:rPr>
          <w:rFonts w:ascii="Arial" w:cs="Arial" w:eastAsia="Arial" w:hAnsi="Arial"/>
          <w:i/>
          <w:iCs/>
          <w:sz w:val="22"/>
          <w:szCs w:val="22"/>
        </w:rPr>
        <w:t xml:space="preserve">frac_c4</w:t>
      </w:r>
      <w:r>
        <w:rPr>
          <w:rFonts w:ascii="Arial" w:cs="Arial" w:eastAsia="Arial" w:hAnsi="Arial"/>
          <w:sz w:val="22"/>
          <w:szCs w:val="22"/>
        </w:rPr>
        <w:t xml:space="preserve"> aislado, ARI sobre HR gain). Esta matriz constituye la entrada de los modelos de los capítulos siguientes.</w:t>
      </w:r>
    </w:p>
    <w:p>
      <w:pPr>
        <w:spacing w:after="80"/>
      </w:pPr>
      <w:r>
        <w:t xml:space="preserve"/>
      </w:r>
    </w:p>
    <w:p>
      <w:pPr>
        <w:pStyle w:val="Heading2"/>
        <w:spacing w:after="160" w:before="300"/>
      </w:pPr>
      <w:r>
        <w:rPr>
          <w:rFonts w:ascii="Arial" w:cs="Arial" w:eastAsia="Arial" w:hAnsi="Arial"/>
          <w:b/>
          <w:bCs/>
          <w:color w:val="1E3A5F"/>
          <w:sz w:val="28"/>
          <w:szCs w:val="28"/>
        </w:rPr>
        <w:t xml:space="preserve">4.5  Validación de reproducibilidad multi-noche</w:t>
      </w:r>
    </w:p>
    <w:p>
      <w:pPr>
        <w:spacing w:after="160" w:line="276" w:lineRule="auto"/>
        <w:jc w:val="both"/>
      </w:pPr>
      <w:r>
        <w:rPr>
          <w:rFonts w:ascii="Arial" w:cs="Arial" w:eastAsia="Arial" w:hAnsi="Arial"/>
          <w:sz w:val="22"/>
          <w:szCs w:val="22"/>
        </w:rPr>
        <w:t xml:space="preserve">Una limitación inherente al monitoreo ambulatorio es la variabilidad noche-a-noche: el ODI3 puede variar un 30–50 % entre noches consecutivas del mismo paciente (Bittencourt et al., 2001; Levendowski et al., 2009). Para cuantificar esta variabilidad y determinar cuántas noches serían suficientes para una estimación estable, se construyeron curvas de estabilización mediante </w:t>
      </w:r>
      <w:r>
        <w:rPr>
          <w:rFonts w:ascii="Arial" w:cs="Arial" w:eastAsia="Arial" w:hAnsi="Arial"/>
          <w:i/>
          <w:iCs/>
          <w:sz w:val="22"/>
          <w:szCs w:val="22"/>
        </w:rPr>
        <w:t xml:space="preserve">bootstrapping</w:t>
      </w:r>
      <w:r>
        <w:rPr>
          <w:rFonts w:ascii="Arial" w:cs="Arial" w:eastAsia="Arial" w:hAnsi="Arial"/>
          <w:sz w:val="22"/>
          <w:szCs w:val="22"/>
        </w:rPr>
        <w:t xml:space="preserve"> (300 iteraciones por paciente) con ventanas acumulativas de 1 a 14 noches.</w:t>
      </w:r>
    </w:p>
    <w:p>
      <w:pPr>
        <w:pStyle w:val="Heading3"/>
        <w:spacing w:after="100" w:before="220"/>
      </w:pPr>
      <w:r>
        <w:rPr>
          <w:rFonts w:ascii="Arial" w:cs="Arial" w:eastAsia="Arial" w:hAnsi="Arial"/>
          <w:b/>
          <w:bCs/>
          <w:color w:val="2C4E72"/>
          <w:sz w:val="24"/>
          <w:szCs w:val="24"/>
        </w:rPr>
        <w:t xml:space="preserve">4.5.1  Estabilización del ODI3 con el número de noches</w:t>
      </w:r>
    </w:p>
    <w:p>
      <w:pPr>
        <w:spacing w:after="160" w:line="276" w:lineRule="auto"/>
        <w:jc w:val="both"/>
      </w:pPr>
      <w:r>
        <w:rPr>
          <w:rFonts w:ascii="Arial" w:cs="Arial" w:eastAsia="Arial" w:hAnsi="Arial"/>
          <w:sz w:val="22"/>
          <w:szCs w:val="22"/>
        </w:rPr>
        <w:t xml:space="preserve">La Tabla 4.8 resume la evolución del ICC(1,1) y del error absoluto medio (MAE) del ODI3 en función del número de noches promediadas. Con una sola noche —equivalente a la PSG o al estudio de sueño domiciliario convencional—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pPr>
        <w:spacing w:after="80"/>
      </w:pPr>
      <w:r>
        <w:t xml:space="preserve"/>
      </w:r>
    </w:p>
    <w:p>
      <w:pPr>
        <w:spacing w:after="80" w:before="80"/>
        <w:jc w:val="center"/>
      </w:pPr>
      <w:r>
        <w:rPr>
          <w:rFonts w:ascii="Arial" w:cs="Arial" w:eastAsia="Arial" w:hAnsi="Arial"/>
          <w:b/>
          <w:bCs/>
          <w:sz w:val="18"/>
          <w:szCs w:val="18"/>
        </w:rPr>
        <w:t xml:space="preserve">Tabla 4.7. ICC(1,1) por métrica en cohortes full y strict.</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200"/>
        <w:gridCol w:w="2572"/>
      </w:tblGrid>
      <w:tr>
        <w:trPr>
          <w:tblHeader/>
        </w:trPr>
        <w:tc>
          <w:tcPr>
            <w:tcW w:type="dxa" w:w="2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 (cohorte full, 12 p.)</w:t>
            </w:r>
          </w:p>
        </w:tc>
        <w:tc>
          <w:tcPr>
            <w:tcW w:type="dxa" w:w="15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 (cohorte strict, 8 p.)</w:t>
            </w:r>
          </w:p>
        </w:tc>
        <w:tc>
          <w:tcPr>
            <w:tcW w:type="dxa" w:w="12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ICC</w:t>
            </w:r>
          </w:p>
        </w:tc>
        <w:tc>
          <w:tcPr>
            <w:tcW w:type="dxa" w:w="25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Interpretación</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ODI3 (ev/h)</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0,71</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0,72</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+0,02</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estable en ambas cohortes</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Hypoxic Burden HB₃ (%·s/h)</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0,41</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0,66</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+0,25</w:t>
            </w:r>
          </w:p>
        </w:tc>
        <w:tc>
          <w:tcPr>
            <w:tcW w:type="dxa" w:w="25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Mejora sustancial: pobre → moderado</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T90 (fracción)</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0,52</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0,69</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+0,16</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 próximo a bueno</w:t>
            </w:r>
          </w:p>
        </w:tc>
      </w:tr>
      <w:tr>
        <w:tc>
          <w:tcPr>
            <w:tcW w:type="dxa" w:w="2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ARI (0 – 1)</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0,69</w:t>
            </w:r>
          </w:p>
        </w:tc>
        <w:tc>
          <w:tcPr>
            <w:tcW w:type="dxa" w:w="15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0,74</w:t>
            </w:r>
          </w:p>
        </w:tc>
        <w:tc>
          <w:tcPr>
            <w:tcW w:type="dxa" w:w="12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+0,05</w:t>
            </w:r>
          </w:p>
        </w:tc>
        <w:tc>
          <w:tcPr>
            <w:tcW w:type="dxa" w:w="25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Moderado estable — rasgo del paciente</w:t>
            </w:r>
          </w:p>
        </w:tc>
      </w:tr>
      <w:tr>
        <w:tc>
          <w:tcPr>
            <w:tcW w:type="dxa" w:w="2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Eficiencia de sueño</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0,35</w:t>
            </w:r>
          </w:p>
        </w:tc>
        <w:tc>
          <w:tcPr>
            <w:tcW w:type="dxa" w:w="15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0,37</w:t>
            </w:r>
          </w:p>
        </w:tc>
        <w:tc>
          <w:tcPr>
            <w:tcW w:type="dxa" w:w="12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+0,02</w:t>
            </w:r>
          </w:p>
        </w:tc>
        <w:tc>
          <w:tcPr>
            <w:tcW w:type="dxa" w:w="25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Pobre en ambas — limitación del dispositivo</w:t>
            </w:r>
          </w:p>
        </w:tc>
      </w:tr>
    </w:tbl>
    <w:p>
      <w:pPr>
        <w:spacing w:after="200" w:before="60"/>
        <w:jc w:val="center"/>
      </w:pPr>
      <w:r>
        <w:rPr>
          <w:rFonts w:ascii="Arial" w:cs="Arial" w:eastAsia="Arial" w:hAnsi="Arial"/>
          <w:i/>
          <w:iCs/>
          <w:color w:val="444444"/>
          <w:sz w:val="18"/>
          <w:szCs w:val="18"/>
        </w:rPr>
        <w:t xml:space="preserve">Nota. Interpretación del ICC (Koo &amp; Li, 2016): &lt; 0,50 = pobre; 0,50–0,75 = moderado; 0,75–0,90 = bueno; &gt; 0,90 = excelente. HB₃: Hypoxic Burden con umbral de 3 pp. La cohorte full incluye 12 pacientes (560 noches); la cohorte strict incluye 8 pacientes con ≥ 10 noches in_quality (490 noches).</w:t>
      </w:r>
    </w:p>
    <w:p>
      <w:pPr>
        <w:spacing w:after="80"/>
      </w:pPr>
      <w:r>
        <w:t xml:space="preserve"/>
      </w:r>
    </w:p>
    <w:p>
      <w:pPr>
        <w:spacing w:after="80"/>
      </w:pPr>
      <w:r>
        <w:t xml:space="preserve"/>
      </w:r>
    </w:p>
    <w:p>
      <w:pPr>
        <w:spacing w:after="80" w:before="80"/>
        <w:jc w:val="center"/>
      </w:pPr>
      <w:r>
        <w:rPr>
          <w:rFonts w:ascii="Arial" w:cs="Arial" w:eastAsia="Arial" w:hAnsi="Arial"/>
          <w:b/>
          <w:bCs/>
          <w:sz w:val="18"/>
          <w:szCs w:val="18"/>
        </w:rPr>
        <w:t xml:space="preserve">Tabla 4.8. Estabilización del ODI3 con el número de noches promediadas (cohorte estricta, 8 pacientes).</w:t>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972"/>
      </w:tblGrid>
      <w:tr>
        <w:trPr>
          <w:tblHeader/>
        </w:trPr>
        <w:tc>
          <w:tcPr>
            <w:tcW w:type="dxa" w:w="18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 promediadas</w:t>
            </w:r>
          </w:p>
        </w:tc>
        <w:tc>
          <w:tcPr>
            <w:tcW w:type="dxa" w:w="21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ICC(1,1) ODI3</w:t>
            </w:r>
          </w:p>
        </w:tc>
        <w:tc>
          <w:tcPr>
            <w:tcW w:type="dxa" w:w="2100"/>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MAE ODI3 (ev/h)</w:t>
            </w:r>
          </w:p>
        </w:tc>
        <w:tc>
          <w:tcPr>
            <w:tcW w:type="dxa" w:w="2972"/>
            <w:tcBorders>
              <w:top w:val="single" w:color="BBBBBB" w:sz="1"/>
              <w:left w:val="none"/>
              <w:bottom w:val="single" w:color="BBBBBB" w:sz="1"/>
              <w:right w:val="none"/>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 noche</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0,70</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5,3</w:t>
            </w:r>
          </w:p>
        </w:tc>
        <w:tc>
          <w:tcPr>
            <w:tcW w:type="dxa" w:w="2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Línea de base — diagnóstico clínico convencional</w:t>
            </w:r>
          </w:p>
        </w:tc>
      </w:tr>
      <w:tr>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noches</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0,86</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3,1</w:t>
            </w:r>
          </w:p>
        </w:tc>
        <w:tc>
          <w:tcPr>
            <w:tcW w:type="dxa" w:w="2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Mejora sustancial con agregación mínima</w:t>
            </w:r>
          </w:p>
        </w:tc>
      </w:tr>
      <w:tr>
        <w:tc>
          <w:tcPr>
            <w:tcW w:type="dxa" w:w="18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 noches</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0,94</w:t>
            </w:r>
          </w:p>
        </w:tc>
        <w:tc>
          <w:tcPr>
            <w:tcW w:type="dxa" w:w="2100"/>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2,1</w:t>
            </w:r>
          </w:p>
        </w:tc>
        <w:tc>
          <w:tcPr>
            <w:tcW w:type="dxa" w:w="2972"/>
            <w:tcBorders>
              <w:top w:val="single" w:color="BBBBBB" w:sz="1"/>
              <w:left w:val="none"/>
              <w:bottom w:val="single" w:color="BBBBBB" w:sz="1"/>
              <w:right w:val="none"/>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Zona de estabilización para la mayoría de los pacientes</w:t>
            </w:r>
          </w:p>
        </w:tc>
      </w:tr>
      <w:tr>
        <w:tc>
          <w:tcPr>
            <w:tcW w:type="dxa" w:w="18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14 noches</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0,99</w:t>
            </w:r>
          </w:p>
        </w:tc>
        <w:tc>
          <w:tcPr>
            <w:tcW w:type="dxa" w:w="2100"/>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111"/>
                <w:sz w:val="18"/>
                <w:szCs w:val="18"/>
              </w:rPr>
              <w:t xml:space="preserve">1,5</w:t>
            </w:r>
          </w:p>
        </w:tc>
        <w:tc>
          <w:tcPr>
            <w:tcW w:type="dxa" w:w="2972"/>
            <w:tcBorders>
              <w:top w:val="single" w:color="BBBBBB" w:sz="1"/>
              <w:left w:val="none"/>
              <w:bottom w:val="single" w:color="BBBBBB" w:sz="1"/>
              <w:right w:val="none"/>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Estimación de referencia — equivalente a PSG repetida</w:t>
            </w:r>
          </w:p>
        </w:tc>
      </w:tr>
    </w:tbl>
    <w:p>
      <w:pPr>
        <w:spacing w:after="200" w:before="60"/>
        <w:jc w:val="center"/>
      </w:pPr>
      <w:r>
        <w:rPr>
          <w:rFonts w:ascii="Arial" w:cs="Arial" w:eastAsia="Arial" w:hAnsi="Arial"/>
          <w:i/>
          <w:iCs/>
          <w:color w:val="444444"/>
          <w:sz w:val="18"/>
          <w:szCs w:val="18"/>
        </w:rPr>
        <w:t xml:space="preserve">Nota. ICC(1,1) calculado sobre estimados paciente-nivel por bootstrapping (300 iteraciones). MAE: error absoluto medio en ev/h, promediado entre los 8 pacientes de la cohorte estricta. La línea de referencia de 14 noches se tomó como estimado equivalente a PSG repetida para el ODI3.</w:t>
      </w:r>
    </w:p>
    <w:p>
      <w:pPr>
        <w:spacing w:after="80"/>
      </w:pPr>
      <w:r>
        <w:t xml:space="preserve"/>
      </w:r>
    </w:p>
    <w:p>
      <w:pPr>
        <w:pStyle w:val="Heading3"/>
        <w:spacing w:after="100" w:before="220"/>
      </w:pPr>
      <w:r>
        <w:rPr>
          <w:rFonts w:ascii="Arial" w:cs="Arial" w:eastAsia="Arial" w:hAnsi="Arial"/>
          <w:b/>
          <w:bCs/>
          <w:color w:val="2C4E72"/>
          <w:sz w:val="24"/>
          <w:szCs w:val="24"/>
        </w:rPr>
        <w:t xml:space="preserve">4.5.2  Reproducibilidad del ARI</w:t>
      </w:r>
    </w:p>
    <w:p>
      <w:pPr>
        <w:spacing w:after="160" w:line="276" w:lineRule="auto"/>
        <w:jc w:val="both"/>
      </w:pPr>
      <w:r>
        <w:rPr>
          <w:rFonts w:ascii="Arial" w:cs="Arial" w:eastAsia="Arial" w:hAnsi="Arial"/>
          <w:sz w:val="22"/>
          <w:szCs w:val="22"/>
        </w:rPr>
        <w:t xml:space="preserve">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que podría capturarse con pocas noches de monitoreo.</w:t>
      </w:r>
    </w:p>
    <w:p>
      <w:pPr>
        <w:spacing w:after="160" w:line="276" w:lineRule="auto"/>
        <w:jc w:val="both"/>
      </w:pPr>
      <w:r>
        <w:rPr>
          <w:rFonts w:ascii="Arial" w:cs="Arial" w:eastAsia="Arial" w:hAnsi="Arial"/>
          <w:sz w:val="22"/>
          <w:szCs w:val="22"/>
        </w:rPr>
        <w:t xml:space="preserve">La Tabla 4.7 también permite observar que la mejora de ICC entre cohorte completa y estricta fue más pronunciada en el </w:t>
      </w:r>
      <w:r>
        <w:rPr>
          <w:rFonts w:ascii="Arial" w:cs="Arial" w:eastAsia="Arial" w:hAnsi="Arial"/>
          <w:i/>
          <w:iCs/>
          <w:sz w:val="22"/>
          <w:szCs w:val="22"/>
        </w:rPr>
        <w:t xml:space="preserve">Hypoxic Burden</w:t>
      </w:r>
      <w:r>
        <w:rPr>
          <w:rFonts w:ascii="Arial" w:cs="Arial" w:eastAsia="Arial" w:hAnsi="Arial"/>
          <w:sz w:val="22"/>
          <w:szCs w:val="22"/>
        </w:rPr>
        <w:t xml:space="preserve"> (Δ ICC = +0,25) que en el ODI3 (Δ ICC = +0,02), lo que sugiere que el HB₃ es más sensible a la irregularidad de los pacientes con pocas noches. Para el ARI, la mejora fue modesta (Δ ICC = +0,05), consistente con su mayor estabilidad intrínseca.</w:t>
      </w:r>
    </w:p>
    <w:p>
      <w:pPr>
        <w:spacing w:after="80"/>
      </w:pPr>
      <w:r>
        <w:t xml:space="preserve"/>
      </w:r>
    </w:p>
    <w:p>
      <w:pPr>
        <w:pStyle w:val="Heading2"/>
        <w:spacing w:after="160" w:before="300"/>
      </w:pPr>
      <w:r>
        <w:rPr>
          <w:rFonts w:ascii="Arial" w:cs="Arial" w:eastAsia="Arial" w:hAnsi="Arial"/>
          <w:b/>
          <w:bCs/>
          <w:color w:val="1E3A5F"/>
          <w:sz w:val="28"/>
          <w:szCs w:val="28"/>
        </w:rPr>
        <w:t xml:space="preserve">4.6  Síntesis</w:t>
      </w:r>
    </w:p>
    <w:p>
      <w:pPr>
        <w:spacing w:after="160" w:line="276" w:lineRule="auto"/>
        <w:jc w:val="both"/>
      </w:pPr>
      <w:r>
        <w:rPr>
          <w:rFonts w:ascii="Arial" w:cs="Arial" w:eastAsia="Arial" w:hAnsi="Arial"/>
          <w:sz w:val="22"/>
          <w:szCs w:val="22"/>
        </w:rPr>
        <w:t xml:space="preserve">Los resultados de este capítulo sugieren que los EDOs constituyen una clase heterogénea de eventos con morfología, carga hipóxica y respuesta autonómica diferenciadas. El </w:t>
      </w:r>
      <w:r>
        <w:rPr>
          <w:rFonts w:ascii="Arial" w:cs="Arial" w:eastAsia="Arial" w:hAnsi="Arial"/>
          <w:i/>
          <w:iCs/>
          <w:sz w:val="22"/>
          <w:szCs w:val="22"/>
        </w:rPr>
        <w:t xml:space="preserve">clustering</w:t>
      </w:r>
      <w:r>
        <w:rPr>
          <w:rFonts w:ascii="Arial" w:cs="Arial" w:eastAsia="Arial" w:hAnsi="Arial"/>
          <w:sz w:val="22"/>
          <w:szCs w:val="22"/>
        </w:rP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pPr>
        <w:spacing w:after="160" w:line="276" w:lineRule="auto"/>
        <w:jc w:val="both"/>
      </w:pPr>
      <w:r>
        <w:rPr>
          <w:rFonts w:ascii="Arial" w:cs="Arial" w:eastAsia="Arial" w:hAnsi="Arial"/>
          <w:sz w:val="22"/>
          <w:szCs w:val="22"/>
        </w:rPr>
        <w:t xml:space="preserve">El ARI aportó una segunda dimensión de caracterización, prácticamente no correlacionada con el ODI3 en esta cohorte (ρ = 0,034).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Finalmente, la validación multi-noche mostró que la agregación de registros domiciliarios mejora sustancialmente la fiabilidad de las métricas, y que el protocolo de este proyecto (medianas de 55–116 noches por paciente en la cohorte estricta) proporciona una base longitudinal considerablemente más rica que el estudio de sueño de una sola noche.</w:t>
      </w:r>
    </w:p>
    <w:p>
      <w:pPr>
        <w:spacing w:after="80"/>
      </w:pPr>
      <w:r>
        <w:t xml:space="preserve"/>
      </w:r>
    </w:p>
    <w:p>
      <w:r>
        <w:br w:type="page"/>
      </w:r>
    </w:p>
    <w:p>
      <w:pPr>
        <w:pStyle w:val="Heading2"/>
        <w:spacing w:after="160" w:before="300"/>
      </w:pPr>
      <w:r>
        <w:rPr>
          <w:rFonts w:ascii="Arial" w:cs="Arial" w:eastAsia="Arial" w:hAnsi="Arial"/>
          <w:b/>
          <w:bCs/>
          <w:color w:val="1E3A5F"/>
          <w:sz w:val="28"/>
          <w:szCs w:val="28"/>
        </w:rPr>
        <w:t xml:space="preserve">Referencias</w:t>
      </w:r>
    </w:p>
    <w:p>
      <w:pPr>
        <w:spacing w:after="160" w:line="276" w:lineRule="auto"/>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rFonts w:ascii="Arial" w:cs="Arial" w:eastAsia="Arial" w:hAnsi="Arial"/>
          <w:i/>
          <w:iCs/>
          <w:sz w:val="22"/>
          <w:szCs w:val="22"/>
        </w:rPr>
        <w:t xml:space="preserve">European Heart Journal</w:t>
      </w:r>
      <w:r>
        <w:rPr>
          <w:rFonts w:ascii="Arial" w:cs="Arial" w:eastAsia="Arial" w:hAnsi="Arial"/>
          <w:sz w:val="22"/>
          <w:szCs w:val="22"/>
        </w:rPr>
        <w:t xml:space="preserve">, 40(14), 1149–1157. https://doi.org/10.1093/eurheartj/ehy624</w:t>
      </w:r>
    </w:p>
    <w:p>
      <w:pPr>
        <w:spacing w:after="160" w:line="276" w:lineRule="auto"/>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the scoring of sleep and associated events. </w:t>
      </w:r>
      <w:r>
        <w:rPr>
          <w:rFonts w:ascii="Arial" w:cs="Arial" w:eastAsia="Arial" w:hAnsi="Arial"/>
          <w:i/>
          <w:iCs/>
          <w:sz w:val="22"/>
          <w:szCs w:val="22"/>
        </w:rPr>
        <w:t xml:space="preserve">Journal of Clinical Sleep Medicine</w:t>
      </w:r>
      <w:r>
        <w:rPr>
          <w:rFonts w:ascii="Arial" w:cs="Arial" w:eastAsia="Arial" w:hAnsi="Arial"/>
          <w:sz w:val="22"/>
          <w:szCs w:val="22"/>
        </w:rPr>
        <w:t xml:space="preserve">, 8(5), 597–619. https://doi.org/10.5664/jcsm.2172</w:t>
      </w:r>
    </w:p>
    <w:p>
      <w:pPr>
        <w:spacing w:after="160" w:line="276" w:lineRule="auto"/>
        <w:jc w:val="both"/>
      </w:pPr>
      <w:r>
        <w:rPr>
          <w:rFonts w:ascii="Arial" w:cs="Arial" w:eastAsia="Arial" w:hAnsi="Arial"/>
          <w:sz w:val="22"/>
          <w:szCs w:val="22"/>
        </w:rPr>
        <w:t xml:space="preserve">Bittencourt, L. R. A., Suchecki, D., Tufik, S., Peres, C., Togeiro, S. M., Bagnato, M. C., &amp; Nery, L. E. (2001). The variability of the apnoea–hypopnoea index. </w:t>
      </w:r>
      <w:r>
        <w:rPr>
          <w:rFonts w:ascii="Arial" w:cs="Arial" w:eastAsia="Arial" w:hAnsi="Arial"/>
          <w:i/>
          <w:iCs/>
          <w:sz w:val="22"/>
          <w:szCs w:val="22"/>
        </w:rPr>
        <w:t xml:space="preserve">Journal of Sleep Research</w:t>
      </w:r>
      <w:r>
        <w:rPr>
          <w:rFonts w:ascii="Arial" w:cs="Arial" w:eastAsia="Arial" w:hAnsi="Arial"/>
          <w:sz w:val="22"/>
          <w:szCs w:val="22"/>
        </w:rPr>
        <w:t xml:space="preserve">, 10(3), 245–251. https://doi.org/10.1046/j.1365-2869.2001.00255.x</w:t>
      </w:r>
    </w:p>
    <w:p>
      <w:pPr>
        <w:spacing w:after="160" w:line="276" w:lineRule="auto"/>
        <w:jc w:val="both"/>
      </w:pPr>
      <w:r>
        <w:rPr>
          <w:rFonts w:ascii="Arial" w:cs="Arial" w:eastAsia="Arial" w:hAnsi="Arial"/>
          <w:sz w:val="22"/>
          <w:szCs w:val="22"/>
        </w:rPr>
        <w:t xml:space="preserve">Koo, T. K., &amp; Li, M. Y. (2016). A guideline of selecting and reporting intraclass correlation coefficients for reliability research. </w:t>
      </w:r>
      <w:r>
        <w:rPr>
          <w:rFonts w:ascii="Arial" w:cs="Arial" w:eastAsia="Arial" w:hAnsi="Arial"/>
          <w:i/>
          <w:iCs/>
          <w:sz w:val="22"/>
          <w:szCs w:val="22"/>
        </w:rPr>
        <w:t xml:space="preserve">Journal of Chiropractic Medicine</w:t>
      </w:r>
      <w:r>
        <w:rPr>
          <w:rFonts w:ascii="Arial" w:cs="Arial" w:eastAsia="Arial" w:hAnsi="Arial"/>
          <w:sz w:val="22"/>
          <w:szCs w:val="22"/>
        </w:rPr>
        <w:t xml:space="preserve">, 15(2), 155–163. https://doi.org/10.1016/j.jcm.2016.02.012</w:t>
      </w:r>
    </w:p>
    <w:p>
      <w:pPr>
        <w:spacing w:after="160" w:line="276" w:lineRule="auto"/>
        <w:jc w:val="both"/>
      </w:pPr>
      <w:r>
        <w:rPr>
          <w:rFonts w:ascii="Arial" w:cs="Arial" w:eastAsia="Arial" w:hAnsi="Arial"/>
          <w:sz w:val="22"/>
          <w:szCs w:val="22"/>
        </w:rPr>
        <w:t xml:space="preserve">Levendowski, D. J., Zack, N., Rao, S., Wong, K., Gendreau, M., Kranzler, J., ... &amp; Westbrook, P. R. (2009). Assessment of the test–retest reliability of laboratory polysomnography. </w:t>
      </w:r>
      <w:r>
        <w:rPr>
          <w:rFonts w:ascii="Arial" w:cs="Arial" w:eastAsia="Arial" w:hAnsi="Arial"/>
          <w:i/>
          <w:iCs/>
          <w:sz w:val="22"/>
          <w:szCs w:val="22"/>
        </w:rPr>
        <w:t xml:space="preserve">Sleep &amp; Breathing</w:t>
      </w:r>
      <w:r>
        <w:rPr>
          <w:rFonts w:ascii="Arial" w:cs="Arial" w:eastAsia="Arial" w:hAnsi="Arial"/>
          <w:sz w:val="22"/>
          <w:szCs w:val="22"/>
        </w:rPr>
        <w:t xml:space="preserve">, 13(2), 163–167. https://doi.org/10.1007/s11325-008-0214-6</w:t>
      </w:r>
    </w:p>
    <w:p>
      <w:pPr>
        <w:spacing w:after="160" w:line="276" w:lineRule="auto"/>
        <w:jc w:val="both"/>
      </w:pPr>
      <w:r>
        <w:rPr>
          <w:rFonts w:ascii="Arial" w:cs="Arial" w:eastAsia="Arial" w:hAnsi="Arial"/>
          <w:sz w:val="22"/>
          <w:szCs w:val="22"/>
        </w:rPr>
        <w:t xml:space="preserve">Narkiewicz, K., &amp; Somers, V. K. (2003). Sympathetic nerve activity in obstructive sleep apnoea. </w:t>
      </w:r>
      <w:r>
        <w:rPr>
          <w:rFonts w:ascii="Arial" w:cs="Arial" w:eastAsia="Arial" w:hAnsi="Arial"/>
          <w:i/>
          <w:iCs/>
          <w:sz w:val="22"/>
          <w:szCs w:val="22"/>
        </w:rPr>
        <w:t xml:space="preserve">Acta Physiologica Scandinavica</w:t>
      </w:r>
      <w:r>
        <w:rPr>
          <w:rFonts w:ascii="Arial" w:cs="Arial" w:eastAsia="Arial" w:hAnsi="Arial"/>
          <w:sz w:val="22"/>
          <w:szCs w:val="22"/>
        </w:rPr>
        <w:t xml:space="preserve">, 177(3), 385–390. https://doi.org/10.1046/j.1365-201X.2003.01091.x</w:t>
      </w:r>
    </w:p>
    <w:p>
      <w:pPr>
        <w:spacing w:after="160" w:line="276" w:lineRule="auto"/>
        <w:jc w:val="both"/>
      </w:pPr>
      <w:r>
        <w:rPr>
          <w:rFonts w:ascii="Arial" w:cs="Arial" w:eastAsia="Arial" w:hAnsi="Arial"/>
          <w:sz w:val="22"/>
          <w:szCs w:val="22"/>
        </w:rPr>
        <w:t xml:space="preserve">Oliven, A., Tov, N., Brandspiegel, S., Steinfeld, U., &amp; Schwartz, A. R. (2020). Clustering of apneas in obstructive sleep apnea: significance and clinical relevance. </w:t>
      </w:r>
      <w:r>
        <w:rPr>
          <w:rFonts w:ascii="Arial" w:cs="Arial" w:eastAsia="Arial" w:hAnsi="Arial"/>
          <w:i/>
          <w:iCs/>
          <w:sz w:val="22"/>
          <w:szCs w:val="22"/>
        </w:rPr>
        <w:t xml:space="preserve">Sleep</w:t>
      </w:r>
      <w:r>
        <w:rPr>
          <w:rFonts w:ascii="Arial" w:cs="Arial" w:eastAsia="Arial" w:hAnsi="Arial"/>
          <w:sz w:val="22"/>
          <w:szCs w:val="22"/>
        </w:rPr>
        <w:t xml:space="preserve">, 43(9), zsaa046. https://doi.org/10.1093/sleep/zsaa046</w:t>
      </w:r>
    </w:p>
    <w:p>
      <w:pPr>
        <w:spacing w:after="160" w:line="276" w:lineRule="auto"/>
        <w:jc w:val="both"/>
      </w:pPr>
      <w:r>
        <w:rPr>
          <w:rFonts w:ascii="Arial" w:cs="Arial" w:eastAsia="Arial" w:hAnsi="Arial"/>
          <w:sz w:val="22"/>
          <w:szCs w:val="22"/>
        </w:rPr>
        <w:t xml:space="preserve">Prabhakar, N. R. (2016). Carotid body chemoreflex: a driver of autonomic abnormalities in sleep apnoea. </w:t>
      </w:r>
      <w:r>
        <w:rPr>
          <w:rFonts w:ascii="Arial" w:cs="Arial" w:eastAsia="Arial" w:hAnsi="Arial"/>
          <w:i/>
          <w:iCs/>
          <w:sz w:val="22"/>
          <w:szCs w:val="22"/>
        </w:rPr>
        <w:t xml:space="preserve">Experimental Physiology</w:t>
      </w:r>
      <w:r>
        <w:rPr>
          <w:rFonts w:ascii="Arial" w:cs="Arial" w:eastAsia="Arial" w:hAnsi="Arial"/>
          <w:sz w:val="22"/>
          <w:szCs w:val="22"/>
        </w:rPr>
        <w:t xml:space="preserve">, 101(3), 394–399. https://doi.org/10.1113/EP085601</w:t>
      </w:r>
    </w:p>
    <w:p>
      <w:pPr>
        <w:spacing w:after="160" w:line="276" w:lineRule="auto"/>
        <w:jc w:val="both"/>
      </w:pPr>
      <w:r>
        <w:rPr>
          <w:rFonts w:ascii="Arial" w:cs="Arial" w:eastAsia="Arial" w:hAnsi="Arial"/>
          <w:sz w:val="22"/>
          <w:szCs w:val="22"/>
        </w:rPr>
        <w:t xml:space="preserve">Rousseeuw, P. J. (1987). Silhouettes: a graphical aid to the interpretation and validation of cluster analysis. </w:t>
      </w:r>
      <w:r>
        <w:rPr>
          <w:rFonts w:ascii="Arial" w:cs="Arial" w:eastAsia="Arial" w:hAnsi="Arial"/>
          <w:i/>
          <w:iCs/>
          <w:sz w:val="22"/>
          <w:szCs w:val="22"/>
        </w:rPr>
        <w:t xml:space="preserve">Journal of Computational and Applied Mathematics</w:t>
      </w:r>
      <w:r>
        <w:rPr>
          <w:rFonts w:ascii="Arial" w:cs="Arial" w:eastAsia="Arial" w:hAnsi="Arial"/>
          <w:sz w:val="22"/>
          <w:szCs w:val="22"/>
        </w:rPr>
        <w:t xml:space="preserve">, 20, 53–65. https://doi.org/10.1016/0377-0427(87)90125-7</w:t>
      </w:r>
    </w:p>
    <w:p>
      <w:pPr>
        <w:spacing w:after="160" w:line="276" w:lineRule="auto"/>
        <w:jc w:val="both"/>
      </w:pPr>
      <w:r>
        <w:rPr>
          <w:rFonts w:ascii="Arial" w:cs="Arial" w:eastAsia="Arial" w:hAnsi="Arial"/>
          <w:sz w:val="22"/>
          <w:szCs w:val="22"/>
        </w:rPr>
        <w:t xml:space="preserve">Wasserstein, R. L., &amp; Lazar, N. A. (2016). The ASA statement on </w:t>
      </w:r>
      <w:r>
        <w:rPr>
          <w:rFonts w:ascii="Arial" w:cs="Arial" w:eastAsia="Arial" w:hAnsi="Arial"/>
          <w:i/>
          <w:iCs/>
          <w:sz w:val="22"/>
          <w:szCs w:val="22"/>
        </w:rPr>
        <w:t xml:space="preserve">p</w:t>
      </w:r>
      <w:r>
        <w:rPr>
          <w:rFonts w:ascii="Arial" w:cs="Arial" w:eastAsia="Arial" w:hAnsi="Arial"/>
          <w:sz w:val="22"/>
          <w:szCs w:val="22"/>
        </w:rPr>
        <w:t xml:space="preserve">-values: context, process, and purpose. </w:t>
      </w:r>
      <w:r>
        <w:rPr>
          <w:rFonts w:ascii="Arial" w:cs="Arial" w:eastAsia="Arial" w:hAnsi="Arial"/>
          <w:i/>
          <w:iCs/>
          <w:sz w:val="22"/>
          <w:szCs w:val="22"/>
        </w:rPr>
        <w:t xml:space="preserve">The American Statistician</w:t>
      </w:r>
      <w:r>
        <w:rPr>
          <w:rFonts w:ascii="Arial" w:cs="Arial" w:eastAsia="Arial" w:hAnsi="Arial"/>
          <w:sz w:val="22"/>
          <w:szCs w:val="22"/>
        </w:rPr>
        <w:t xml:space="preserve">, 70(2), 129–133. https://doi.org/10.1080/00031305.2016.1154108</w:t>
      </w:r>
    </w:p>
    <w:p>
      <w:pPr>
        <w:spacing w:after="160" w:line="276" w:lineRule="auto"/>
        <w:jc w:val="both"/>
      </w:pPr>
      <w:r>
        <w:rPr>
          <w:rFonts w:ascii="Arial" w:cs="Arial" w:eastAsia="Arial" w:hAnsi="Arial"/>
          <w:sz w:val="22"/>
          <w:szCs w:val="22"/>
        </w:rPr>
        <w:t xml:space="preserve">Xie, J., Sert Kuniyoshi, F. H., Covassin, N., De Godoy, M. F., &amp; Somers, V. K. (2016). Excessive daytime sleepiness independently predicts increased cardiovascular risk after myocardial infarction. </w:t>
      </w:r>
      <w:r>
        <w:rPr>
          <w:rFonts w:ascii="Arial" w:cs="Arial" w:eastAsia="Arial" w:hAnsi="Arial"/>
          <w:i/>
          <w:iCs/>
          <w:sz w:val="22"/>
          <w:szCs w:val="22"/>
        </w:rPr>
        <w:t xml:space="preserve">Journal of the American Heart Association</w:t>
      </w:r>
      <w:r>
        <w:rPr>
          <w:rFonts w:ascii="Arial" w:cs="Arial" w:eastAsia="Arial" w:hAnsi="Arial"/>
          <w:sz w:val="22"/>
          <w:szCs w:val="22"/>
        </w:rPr>
        <w:t xml:space="preserve">, 5(3), e002913. https://doi.org/10.1161/JAHA.115.002913</w:t>
      </w:r>
    </w:p>
    <w:sectPr>
      <w:headerReference w:type="default" r:id="rId7"/>
      <w:footerReference w:type="default" r:id="rId8"/>
      <w:pgSz w:w="11906" w:h="16838" w:orient="portrait"/>
      <w:pgMar w:top="1134" w:right="1134" w:bottom="1134"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jc w:val="center"/>
    </w:pPr>
    <w:r>
      <w:rPr>
        <w:rFonts w:ascii="Arial" w:cs="Arial" w:eastAsia="Arial" w:hAnsi="Arial"/>
        <w:color w:val="888888"/>
        <w:sz w:val="16"/>
        <w:szCs w:val="16"/>
      </w:rPr>
      <w:t xml:space="preserve">Roberto Inza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8972"/>
      </w:tabs>
    </w:pPr>
    <w:r>
      <w:rPr>
        <w:rFonts w:ascii="Arial" w:cs="Arial" w:eastAsia="Arial" w:hAnsi="Arial"/>
        <w:color w:val="888888"/>
        <w:sz w:val="16"/>
        <w:szCs w:val="16"/>
      </w:rPr>
      <w:t xml:space="preserve">Proyecto APNEA  ·  Maestría en Explotación de Datos — Universidad Austral</w:t>
    </w:r>
    <w:r>
      <w:rPr>
        <w:rFonts w:ascii="Arial" w:cs="Arial" w:eastAsia="Arial" w:hAnsi="Arial"/>
      </w:rPr>
      <w:t xml:space="preserve">	</w:t>
    </w:r>
    <w:r>
      <w:rPr>
        <w:rFonts w:ascii="Arial" w:cs="Arial" w:eastAsia="Arial" w:hAnsi="Arial"/>
        <w:b/>
        <w:bCs/>
        <w:color w:val="888888"/>
        <w:sz w:val="16"/>
        <w:szCs w:val="16"/>
      </w:rPr>
      <w:t xml:space="preserve">Cap. 4 — Fenotipado Morfológico y 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C4E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2026-05-24T12:47:16.067Z</dcterms:created>
  <dcterms:modified xsi:type="dcterms:W3CDTF">2026-05-24T12:47:16.067Z</dcterms:modified>
</cp:coreProperties>
</file>

<file path=docProps/custom.xml><?xml version="1.0" encoding="utf-8"?>
<Properties xmlns="http://schemas.openxmlformats.org/officeDocument/2006/custom-properties" xmlns:vt="http://schemas.openxmlformats.org/officeDocument/2006/docPropsVTypes"/>
</file>