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35654" w14:textId="77777777" w:rsidR="00C440F8" w:rsidRDefault="00000000">
      <w:pPr>
        <w:pStyle w:val="Ttulo1"/>
        <w:pBdr>
          <w:bottom w:val="single" w:sz="8" w:space="8" w:color="1E3A5F"/>
        </w:pBdr>
      </w:pPr>
      <w:r>
        <w:t>Capítulo 4: Fenotipado Morfológico y Respuesta Autonómica de los Eventos de Desaturación</w:t>
      </w:r>
    </w:p>
    <w:p w14:paraId="7703AB5B" w14:textId="77777777" w:rsidR="00C440F8" w:rsidRDefault="00000000">
      <w:pPr>
        <w:spacing w:after="160" w:line="276" w:lineRule="auto"/>
        <w:jc w:val="both"/>
      </w:pPr>
      <w: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i/>
          <w:iCs/>
        </w:rPr>
        <w:t>K</w:t>
      </w:r>
      <w:r>
        <w:t xml:space="preserve">-means sobre el corpus completo, y el cálculo del Índice de Respuesta Autonómica (ARI). El presente capítulo expone los resultados de esa caracterización: los cinco morfotipos de curva SpO₂ (C1–C5), sus propiedades morfológicas y autonómicas, el diagnóstico del índice de respuesta original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i/>
          <w:iCs/>
        </w:rPr>
        <w:t>features</w:t>
      </w:r>
      <w:r>
        <w:t xml:space="preserve"> nocturnas que se desarrolla en el Capítulo 5.</w:t>
      </w:r>
    </w:p>
    <w:p w14:paraId="62D1AFE7" w14:textId="77777777" w:rsidR="00C440F8" w:rsidRDefault="00C440F8">
      <w:pPr>
        <w:spacing w:after="80"/>
      </w:pPr>
    </w:p>
    <w:p w14:paraId="215615B3" w14:textId="77777777" w:rsidR="00C440F8" w:rsidRDefault="00000000">
      <w:pPr>
        <w:pStyle w:val="Ttulo2"/>
      </w:pPr>
      <w:r>
        <w:t>4.1  Descripción del corpus de eventos</w:t>
      </w:r>
    </w:p>
    <w:p w14:paraId="7E8B3343" w14:textId="46F92991" w:rsidR="00C440F8" w:rsidRDefault="00000000">
      <w:pPr>
        <w:spacing w:after="160" w:line="276" w:lineRule="auto"/>
        <w:jc w:val="both"/>
      </w:pPr>
      <w:r>
        <w:t xml:space="preserve">El pipeline </w:t>
      </w:r>
      <w:r w:rsidR="00854834">
        <w:t>PAC_v3</w:t>
      </w:r>
      <w:r>
        <w:t xml:space="preserve">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D3A9D3B" w14:textId="77777777" w:rsidR="00C440F8" w:rsidRDefault="00C440F8">
      <w:pPr>
        <w:spacing w:after="80"/>
      </w:pPr>
    </w:p>
    <w:p w14:paraId="0CAEBF12" w14:textId="77777777" w:rsidR="00C440F8" w:rsidRDefault="00000000">
      <w:pPr>
        <w:spacing w:before="80" w:after="80"/>
        <w:jc w:val="center"/>
      </w:pPr>
      <w:r>
        <w:rPr>
          <w:b/>
          <w:bCs/>
          <w:sz w:val="18"/>
          <w:szCs w:val="18"/>
        </w:rPr>
        <w:t>Tabla 4.0. Tamaños de muestra utilizados en el capítulo.</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5772"/>
      </w:tblGrid>
      <w:tr w:rsidR="00C440F8" w14:paraId="6BE26376"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6E4D8D4" w14:textId="77777777" w:rsidR="00C440F8"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5EF4D7" w14:textId="77777777" w:rsidR="00C440F8"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E39BF2" w14:textId="77777777" w:rsidR="00C440F8" w:rsidRDefault="00000000">
            <w:pPr>
              <w:jc w:val="center"/>
            </w:pPr>
            <w:r>
              <w:rPr>
                <w:b/>
                <w:bCs/>
                <w:color w:val="FFFFFF"/>
                <w:sz w:val="18"/>
                <w:szCs w:val="18"/>
              </w:rPr>
              <w:t>Descripción</w:t>
            </w:r>
          </w:p>
        </w:tc>
      </w:tr>
      <w:tr w:rsidR="00C440F8" w14:paraId="28A86D8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70E89D2" w14:textId="77777777" w:rsidR="00C440F8"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CA22F8" w14:textId="77777777" w:rsidR="00C440F8"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CAC4A39" w14:textId="77777777" w:rsidR="00C440F8" w:rsidRDefault="00000000">
            <w:r>
              <w:rPr>
                <w:color w:val="111111"/>
                <w:sz w:val="18"/>
                <w:szCs w:val="18"/>
              </w:rPr>
              <w:t>EDOs detectados por el algoritmo antes de cualquier filtro de calidad de señal</w:t>
            </w:r>
          </w:p>
        </w:tc>
      </w:tr>
      <w:tr w:rsidR="00C440F8" w14:paraId="379A0313"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07DF75B" w14:textId="77777777" w:rsidR="00C440F8"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B8743CF" w14:textId="77777777" w:rsidR="00C440F8"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414FA9" w14:textId="77777777" w:rsidR="00C440F8" w:rsidRDefault="00000000">
            <w:r>
              <w:rPr>
                <w:color w:val="111111"/>
                <w:sz w:val="18"/>
                <w:szCs w:val="18"/>
              </w:rPr>
              <w:t>EDOs con señal SpO₂ y FC válida — usados para el ARI y correlaciones (§4.3)</w:t>
            </w:r>
          </w:p>
        </w:tc>
      </w:tr>
      <w:tr w:rsidR="00C440F8" w14:paraId="3DD3B644"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A74D355" w14:textId="77777777" w:rsidR="00C440F8" w:rsidRDefault="00000000">
            <w:r>
              <w:rPr>
                <w:color w:val="111111"/>
                <w:sz w:val="18"/>
                <w:szCs w:val="18"/>
              </w:rPr>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DC3F24" w14:textId="77777777" w:rsidR="00C440F8"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6F2B0F" w14:textId="77777777" w:rsidR="00C440F8" w:rsidRDefault="00000000">
            <w:r>
              <w:rPr>
                <w:color w:val="111111"/>
                <w:sz w:val="18"/>
                <w:szCs w:val="18"/>
              </w:rPr>
              <w:t>Subconjunto de in_quality con curva de 30 puntos normalizable — base del clustering C1–C5 (§4.2)</w:t>
            </w:r>
          </w:p>
        </w:tc>
      </w:tr>
      <w:tr w:rsidR="00C440F8" w14:paraId="349CD23A"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04240B" w14:textId="77777777" w:rsidR="00C440F8"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E7B5ED" w14:textId="77777777" w:rsidR="00C440F8"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73B2F91" w14:textId="77777777" w:rsidR="00C440F8" w:rsidRDefault="00000000">
            <w:r>
              <w:rPr>
                <w:color w:val="111111"/>
                <w:sz w:val="18"/>
                <w:szCs w:val="18"/>
              </w:rPr>
              <w:t>EDOs de 8 pacientes con ≥ 10 noches in_quality — usados en modelos predictivos (Capítulos 5–7)</w:t>
            </w:r>
          </w:p>
        </w:tc>
      </w:tr>
    </w:tbl>
    <w:p w14:paraId="7F39BAFB" w14:textId="77777777" w:rsidR="00C440F8"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64C72D10" w14:textId="77777777" w:rsidR="00C440F8" w:rsidRDefault="00C440F8">
      <w:pPr>
        <w:spacing w:after="80"/>
      </w:pPr>
    </w:p>
    <w:p w14:paraId="48189EA5" w14:textId="77777777" w:rsidR="00C440F8"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§3.1.</w:t>
      </w:r>
    </w:p>
    <w:p w14:paraId="738B05FE" w14:textId="77777777" w:rsidR="00C440F8" w:rsidRDefault="00000000">
      <w:pPr>
        <w:spacing w:after="160" w:line="276" w:lineRule="auto"/>
        <w:jc w:val="both"/>
      </w:pPr>
      <w:r>
        <w:lastRenderedPageBreak/>
        <w:t>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fue de 17,9 ± 14,1 ev/h (mediana: 14,6 ev/h), consistente con una cohorte de riesgo moderado.</w:t>
      </w:r>
    </w:p>
    <w:p w14:paraId="3771CA40" w14:textId="77777777" w:rsidR="00C440F8" w:rsidRDefault="00C440F8">
      <w:pPr>
        <w:spacing w:after="80"/>
      </w:pPr>
    </w:p>
    <w:p w14:paraId="2368BF29" w14:textId="77777777" w:rsidR="00C440F8" w:rsidRDefault="00000000">
      <w:pPr>
        <w:spacing w:before="80" w:after="80"/>
        <w:jc w:val="center"/>
      </w:pPr>
      <w:r>
        <w:rPr>
          <w:b/>
          <w:bCs/>
          <w:sz w:val="18"/>
          <w:szCs w:val="18"/>
        </w:rPr>
        <w:t>Tabla 4.1. Distribución de la cohorte por categoría AASM según ODI3.</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700"/>
        <w:gridCol w:w="1700"/>
        <w:gridCol w:w="1172"/>
      </w:tblGrid>
      <w:tr w:rsidR="00C440F8" w14:paraId="67F5AC67"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47A4D6F" w14:textId="77777777" w:rsidR="00C440F8"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2F93E04" w14:textId="77777777" w:rsidR="00C440F8"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ECCFD1E" w14:textId="77777777" w:rsidR="00C440F8"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9171D52" w14:textId="77777777" w:rsidR="00C440F8"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6CCC02F" w14:textId="77777777" w:rsidR="00C440F8" w:rsidRDefault="00000000">
            <w:pPr>
              <w:jc w:val="center"/>
            </w:pPr>
            <w:r>
              <w:rPr>
                <w:b/>
                <w:bCs/>
                <w:color w:val="FFFFFF"/>
                <w:sz w:val="18"/>
                <w:szCs w:val="18"/>
              </w:rPr>
              <w:t>ODI3 medio ± DE</w:t>
            </w:r>
          </w:p>
        </w:tc>
      </w:tr>
      <w:tr w:rsidR="00C440F8" w14:paraId="24331ED5"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6E3E9BF" w14:textId="77777777" w:rsidR="00C440F8"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8B27AC" w14:textId="77777777" w:rsidR="00C440F8"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7D9872" w14:textId="77777777" w:rsidR="00C440F8"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4E38A3" w14:textId="77777777" w:rsidR="00C440F8"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DFA7BF" w14:textId="77777777" w:rsidR="00C440F8" w:rsidRDefault="00000000">
            <w:pPr>
              <w:jc w:val="center"/>
            </w:pPr>
            <w:r>
              <w:rPr>
                <w:color w:val="111111"/>
                <w:sz w:val="18"/>
                <w:szCs w:val="18"/>
              </w:rPr>
              <w:t>3,2 ± 1,1</w:t>
            </w:r>
          </w:p>
        </w:tc>
      </w:tr>
      <w:tr w:rsidR="00C440F8" w14:paraId="2E8CA6CA"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32A00D" w14:textId="77777777" w:rsidR="00C440F8"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330849" w14:textId="77777777" w:rsidR="00C440F8"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5D1B223" w14:textId="77777777" w:rsidR="00C440F8"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BA57B" w14:textId="77777777" w:rsidR="00C440F8"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BF8456F" w14:textId="77777777" w:rsidR="00C440F8" w:rsidRDefault="00000000">
            <w:pPr>
              <w:jc w:val="center"/>
            </w:pPr>
            <w:r>
              <w:rPr>
                <w:color w:val="111111"/>
                <w:sz w:val="18"/>
                <w:szCs w:val="18"/>
              </w:rPr>
              <w:t>9,8 ± 2,9</w:t>
            </w:r>
          </w:p>
        </w:tc>
      </w:tr>
      <w:tr w:rsidR="00C440F8" w14:paraId="6F2FE9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E769C6" w14:textId="77777777" w:rsidR="00C440F8"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CD1BB55" w14:textId="77777777" w:rsidR="00C440F8"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50C5CA9" w14:textId="77777777" w:rsidR="00C440F8"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4B7C63" w14:textId="77777777" w:rsidR="00C440F8"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8EFB643" w14:textId="77777777" w:rsidR="00C440F8" w:rsidRDefault="00000000">
            <w:pPr>
              <w:jc w:val="center"/>
            </w:pPr>
            <w:r>
              <w:rPr>
                <w:color w:val="111111"/>
                <w:sz w:val="18"/>
                <w:szCs w:val="18"/>
              </w:rPr>
              <w:t>21,3 ± 3,8</w:t>
            </w:r>
          </w:p>
        </w:tc>
      </w:tr>
      <w:tr w:rsidR="00C440F8" w14:paraId="49A8025D"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C0D7BB6" w14:textId="77777777" w:rsidR="00C440F8"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C4FA7B2" w14:textId="77777777" w:rsidR="00C440F8"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E12272" w14:textId="77777777" w:rsidR="00C440F8"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5F32D88" w14:textId="77777777" w:rsidR="00C440F8"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268422" w14:textId="77777777" w:rsidR="00C440F8" w:rsidRDefault="00000000">
            <w:pPr>
              <w:jc w:val="center"/>
            </w:pPr>
            <w:r>
              <w:rPr>
                <w:color w:val="111111"/>
                <w:sz w:val="18"/>
                <w:szCs w:val="18"/>
              </w:rPr>
              <w:t>44,8 ± 11,2</w:t>
            </w:r>
          </w:p>
        </w:tc>
      </w:tr>
      <w:tr w:rsidR="00C440F8" w14:paraId="7A95D00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D6F86EC" w14:textId="77777777" w:rsidR="00C440F8"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97DD1B" w14:textId="77777777" w:rsidR="00C440F8"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0A38B0" w14:textId="77777777" w:rsidR="00C440F8"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62D96A7" w14:textId="77777777" w:rsidR="00C440F8"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F92890" w14:textId="77777777" w:rsidR="00C440F8" w:rsidRDefault="00000000">
            <w:pPr>
              <w:jc w:val="center"/>
            </w:pPr>
            <w:r>
              <w:rPr>
                <w:color w:val="111111"/>
                <w:sz w:val="18"/>
                <w:szCs w:val="18"/>
              </w:rPr>
              <w:t>17,9 ± 14,1</w:t>
            </w:r>
          </w:p>
        </w:tc>
      </w:tr>
    </w:tbl>
    <w:p w14:paraId="6059E9AA" w14:textId="77777777" w:rsidR="00C440F8" w:rsidRDefault="00000000">
      <w:pPr>
        <w:spacing w:before="60" w:after="200"/>
        <w:jc w:val="center"/>
      </w:pPr>
      <w:r>
        <w:rPr>
          <w:i/>
          <w:iCs/>
          <w:color w:val="444444"/>
          <w:sz w:val="18"/>
          <w:szCs w:val="18"/>
        </w:rPr>
        <w:t>Nota. DE = desviación estándar. ODI3: umbral de desaturación de 3 puntos porcentuales. N = 560 noches.</w:t>
      </w:r>
    </w:p>
    <w:p w14:paraId="74661238" w14:textId="77777777" w:rsidR="00C440F8" w:rsidRDefault="00C440F8">
      <w:pPr>
        <w:spacing w:after="80"/>
      </w:pPr>
    </w:p>
    <w:p w14:paraId="0AD5EB07" w14:textId="77777777" w:rsidR="00C440F8" w:rsidRDefault="00000000">
      <w:pPr>
        <w:pStyle w:val="Ttulo2"/>
      </w:pPr>
      <w:r>
        <w:t>4.2  Fenotipado morfológico de los EDOs (NB01)</w:t>
      </w:r>
    </w:p>
    <w:p w14:paraId="4BA6289C" w14:textId="77777777" w:rsidR="00C440F8"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4070C3EF" w14:textId="77777777" w:rsidR="00C440F8" w:rsidRDefault="00000000">
      <w:pPr>
        <w:pStyle w:val="Ttulo3"/>
      </w:pPr>
      <w:r>
        <w:t>4.2.1  Selección del número de grupos</w:t>
      </w:r>
    </w:p>
    <w:p w14:paraId="41198ACE" w14:textId="77777777" w:rsidR="00C440F8" w:rsidRDefault="00000000">
      <w:pPr>
        <w:spacing w:after="160" w:line="276" w:lineRule="auto"/>
        <w:jc w:val="both"/>
      </w:pPr>
      <w:r>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0BEED8A8" w14:textId="77777777" w:rsidR="00C440F8" w:rsidRDefault="00C440F8">
      <w:pPr>
        <w:spacing w:after="60"/>
      </w:pPr>
    </w:p>
    <w:p w14:paraId="64FA5402" w14:textId="77777777" w:rsidR="00C440F8" w:rsidRDefault="00000000">
      <w:pPr>
        <w:spacing w:before="60" w:after="40"/>
        <w:jc w:val="center"/>
      </w:pPr>
      <w:r>
        <w:rPr>
          <w:b/>
          <w:bCs/>
          <w:color w:val="333333"/>
          <w:sz w:val="18"/>
          <w:szCs w:val="18"/>
        </w:rPr>
        <w:t>Figura 4.1. Análisis de componentes principales sobre curvas ΔSpO₂ normalizadas (N = 85.277 EDOs).</w:t>
      </w:r>
    </w:p>
    <w:p w14:paraId="7275CCA8" w14:textId="77777777" w:rsidR="00C440F8" w:rsidRDefault="00000000">
      <w:pPr>
        <w:spacing w:before="80" w:after="40"/>
        <w:jc w:val="center"/>
      </w:pPr>
      <w:r>
        <w:rPr>
          <w:noProof/>
        </w:rPr>
        <w:lastRenderedPageBreak/>
        <w:drawing>
          <wp:inline distT="0" distB="0" distL="0" distR="0" wp14:anchorId="39D38175" wp14:editId="021A348F">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2C393382" w14:textId="5F455AF0" w:rsidR="00C440F8" w:rsidRDefault="00000000">
      <w:pPr>
        <w:spacing w:before="20" w:after="200"/>
        <w:jc w:val="center"/>
      </w:pPr>
      <w:r>
        <w:rPr>
          <w:i/>
          <w:iCs/>
          <w:color w:val="555555"/>
          <w:sz w:val="16"/>
          <w:szCs w:val="16"/>
        </w:rPr>
        <w:t>Not</w:t>
      </w:r>
      <w:r w:rsidR="008408F7">
        <w:rPr>
          <w:i/>
          <w:iCs/>
          <w:color w:val="555555"/>
          <w:sz w:val="16"/>
          <w:szCs w:val="16"/>
        </w:rPr>
        <w:t>a</w:t>
      </w:r>
      <w:r>
        <w:rPr>
          <w:i/>
          <w:iCs/>
          <w:color w:val="555555"/>
          <w:sz w:val="16"/>
          <w:szCs w:val="16"/>
        </w:rPr>
        <w:t>. Panel superior izquierdo: varianza explicada acumulada (Scree plot); PC1 = 62,9 %, PC2 = 14,0 %, PC3 = 7,0 %. Paneles superiores centrales e inferior izquierdo: cargas de los tres primeros componentes en el tiempo normalizado del evento. Paneles de dispersión: proyección de los 85.277 EDOs en el espacio PC1–PC2 (centro inferior) y PC1–PC3 (derecha inferior), coloreados por morfotipo de curva.</w:t>
      </w:r>
    </w:p>
    <w:p w14:paraId="2979BA0D" w14:textId="77777777" w:rsidR="00C440F8" w:rsidRDefault="00C440F8">
      <w:pPr>
        <w:spacing w:after="60"/>
      </w:pPr>
    </w:p>
    <w:p w14:paraId="3DE34490" w14:textId="77777777" w:rsidR="00C440F8" w:rsidRDefault="00000000">
      <w:pPr>
        <w:spacing w:before="60" w:after="40"/>
        <w:jc w:val="center"/>
      </w:pPr>
      <w:r>
        <w:rPr>
          <w:b/>
          <w:bCs/>
          <w:color w:val="333333"/>
          <w:sz w:val="18"/>
          <w:szCs w:val="18"/>
        </w:rPr>
        <w:t>Figura 4.2. Selección de K = 5 morfotipos, distribución de EDOs y curvas SpO₂ medianas por cluster.</w:t>
      </w:r>
    </w:p>
    <w:p w14:paraId="52CA18DC" w14:textId="77777777" w:rsidR="00C440F8" w:rsidRDefault="00000000">
      <w:pPr>
        <w:spacing w:before="80" w:after="40"/>
        <w:jc w:val="center"/>
      </w:pPr>
      <w:r>
        <w:rPr>
          <w:noProof/>
        </w:rPr>
        <w:drawing>
          <wp:inline distT="0" distB="0" distL="0" distR="0" wp14:anchorId="425EF744" wp14:editId="5040B0B7">
            <wp:extent cx="4191000" cy="3124200"/>
            <wp:effectExtent l="0" t="0" r="0" b="0"/>
            <wp:docPr id="704862710" name="Imagen 70486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24200"/>
                    </a:xfrm>
                    <a:prstGeom prst="rect">
                      <a:avLst/>
                    </a:prstGeom>
                  </pic:spPr>
                </pic:pic>
              </a:graphicData>
            </a:graphic>
          </wp:inline>
        </w:drawing>
      </w:r>
    </w:p>
    <w:p w14:paraId="2E2893E1" w14:textId="77777777" w:rsidR="00C440F8" w:rsidRDefault="00000000">
      <w:pPr>
        <w:spacing w:before="20" w:after="200"/>
        <w:jc w:val="center"/>
      </w:pPr>
      <w:r>
        <w:rPr>
          <w:i/>
          <w:iCs/>
          <w:color w:val="555555"/>
          <w:sz w:val="16"/>
          <w:szCs w:val="16"/>
        </w:rPr>
        <w:t>Nota. (a) Coeficiente Silhouette para K ∈ [2, 7]; máximo en K = 5 (S = 0,386, línea punteada roja). (b) Distribución absoluta de los 85.277 EDOs por morfotipo. (c) Curvas SpO₂ medianas (línea sólida) y percentiles 25–75 (banda sombreada) por morfotipo; nadir indicado en cada panel. C1: Subcrítico; C2: Leve-Gradual; C3: Severo Agudo; C4: Moderado-V; C5: Severo Progresivo.</w:t>
      </w:r>
    </w:p>
    <w:p w14:paraId="65BDDE0D" w14:textId="77777777" w:rsidR="00C440F8" w:rsidRDefault="00C440F8">
      <w:pPr>
        <w:spacing w:after="80"/>
      </w:pPr>
    </w:p>
    <w:p w14:paraId="3FFC8538" w14:textId="77777777" w:rsidR="00C440F8" w:rsidRDefault="00000000">
      <w:pPr>
        <w:pStyle w:val="Ttulo3"/>
      </w:pPr>
      <w:r>
        <w:t>4.2.2  Perfiles morfológicos de los cinco fenotipos</w:t>
      </w:r>
    </w:p>
    <w:p w14:paraId="558F8FC8" w14:textId="77777777" w:rsidR="00C440F8" w:rsidRDefault="00000000">
      <w:pPr>
        <w:spacing w:after="160" w:line="276" w:lineRule="auto"/>
        <w:jc w:val="both"/>
      </w:pPr>
      <w:r>
        <w:t xml:space="preserve">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w:t>
      </w:r>
      <w:r>
        <w:lastRenderedPageBreak/>
        <w:t>prolongada, o patrones de recuperación más lentos—, aunque la atribución mecanicista precisa requeriría estudios con polisomnografía simultánea (Prabhakar, 2016).</w:t>
      </w:r>
    </w:p>
    <w:p w14:paraId="7F8BCEB5" w14:textId="77777777" w:rsidR="00C440F8" w:rsidRDefault="00C440F8">
      <w:pPr>
        <w:spacing w:after="80"/>
      </w:pPr>
    </w:p>
    <w:p w14:paraId="3185FAE7" w14:textId="77777777" w:rsidR="00C440F8" w:rsidRDefault="00000000">
      <w:pPr>
        <w:spacing w:before="80" w:after="80"/>
        <w:jc w:val="center"/>
      </w:pPr>
      <w:r>
        <w:rPr>
          <w:b/>
          <w:bCs/>
          <w:sz w:val="18"/>
          <w:szCs w:val="18"/>
        </w:rPr>
        <w:t>Tabla 4.2. Perfiles morfológicos de los cinco fenotipos de curva de SpO₂ (corpus completo, N = 84.248 EDOs con morfotipo asignado).</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300"/>
        <w:gridCol w:w="1500"/>
        <w:gridCol w:w="1550"/>
        <w:gridCol w:w="1550"/>
        <w:gridCol w:w="2272"/>
      </w:tblGrid>
      <w:tr w:rsidR="00C440F8" w14:paraId="4D734A95"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BF74136" w14:textId="77777777" w:rsidR="00C440F8"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78DB7E4" w14:textId="77777777" w:rsidR="00C440F8"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2D488A8" w14:textId="77777777" w:rsidR="00C440F8"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E8B8546" w14:textId="77777777" w:rsidR="00C440F8"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984AC04" w14:textId="77777777" w:rsidR="00C440F8"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C7EA45" w14:textId="77777777" w:rsidR="00C440F8" w:rsidRDefault="00000000">
            <w:pPr>
              <w:jc w:val="center"/>
            </w:pPr>
            <w:r>
              <w:rPr>
                <w:b/>
                <w:bCs/>
                <w:color w:val="FFFFFF"/>
                <w:sz w:val="18"/>
                <w:szCs w:val="18"/>
              </w:rPr>
              <w:t>Perfil fisiológico</w:t>
            </w:r>
          </w:p>
        </w:tc>
      </w:tr>
      <w:tr w:rsidR="00C440F8" w14:paraId="04726624"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B011716" w14:textId="77777777" w:rsidR="00C440F8"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3DF827B" w14:textId="77777777" w:rsidR="00C440F8"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9D7A35" w14:textId="77777777" w:rsidR="00C440F8"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660EB4" w14:textId="77777777" w:rsidR="00C440F8"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A4F0C3A" w14:textId="77777777" w:rsidR="00C440F8"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94B1B7" w14:textId="77777777" w:rsidR="00C440F8" w:rsidRDefault="00000000">
            <w:r>
              <w:rPr>
                <w:color w:val="111111"/>
                <w:sz w:val="18"/>
                <w:szCs w:val="18"/>
              </w:rPr>
              <w:t>Subcrítico — caída mínima, simétrica</w:t>
            </w:r>
          </w:p>
        </w:tc>
      </w:tr>
      <w:tr w:rsidR="00C440F8" w14:paraId="0FE04C01"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3C53072" w14:textId="77777777" w:rsidR="00C440F8"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EE05630" w14:textId="77777777" w:rsidR="00C440F8"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5741EE" w14:textId="77777777" w:rsidR="00C440F8"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894725" w14:textId="77777777" w:rsidR="00C440F8"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A7AF757" w14:textId="77777777" w:rsidR="00C440F8"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6F6E1E" w14:textId="77777777" w:rsidR="00C440F8" w:rsidRDefault="00000000">
            <w:r>
              <w:rPr>
                <w:color w:val="111111"/>
                <w:sz w:val="18"/>
                <w:szCs w:val="18"/>
              </w:rPr>
              <w:t>Leve-moderado — caída sostenida con recuperación completa</w:t>
            </w:r>
          </w:p>
        </w:tc>
      </w:tr>
      <w:tr w:rsidR="00C440F8" w14:paraId="58439945"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AD08F0E" w14:textId="77777777" w:rsidR="00C440F8"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E0CCF43" w14:textId="77777777" w:rsidR="00C440F8"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C77FDE3" w14:textId="77777777" w:rsidR="00C440F8"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53ED08" w14:textId="77777777" w:rsidR="00C440F8"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B91BDA" w14:textId="77777777" w:rsidR="00C440F8"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06E7320" w14:textId="77777777" w:rsidR="00C440F8" w:rsidRDefault="00000000">
            <w:r>
              <w:rPr>
                <w:color w:val="111111"/>
                <w:sz w:val="18"/>
                <w:szCs w:val="18"/>
              </w:rPr>
              <w:t>Severo agudo — caída profunda rápida con recuperación abrupta</w:t>
            </w:r>
          </w:p>
        </w:tc>
      </w:tr>
      <w:tr w:rsidR="00C440F8" w14:paraId="02237C58"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45BD5A4" w14:textId="77777777" w:rsidR="00C440F8"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21FCBCB" w14:textId="77777777" w:rsidR="00C440F8"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DA1511" w14:textId="77777777" w:rsidR="00C440F8"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16723B6" w14:textId="77777777" w:rsidR="00C440F8"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D1E498" w14:textId="77777777" w:rsidR="00C440F8"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3B6F24" w14:textId="77777777" w:rsidR="00C440F8" w:rsidRDefault="00000000">
            <w:r>
              <w:rPr>
                <w:color w:val="111111"/>
                <w:sz w:val="18"/>
                <w:szCs w:val="18"/>
              </w:rPr>
              <w:t>Severo escalonado — caída asimétrica, recuperación lenta</w:t>
            </w:r>
          </w:p>
        </w:tc>
      </w:tr>
      <w:tr w:rsidR="00C440F8" w14:paraId="1AA546FC"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665DB4A" w14:textId="77777777" w:rsidR="00C440F8"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C9A7CE1" w14:textId="77777777" w:rsidR="00C440F8"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DB589CC" w14:textId="77777777" w:rsidR="00C440F8"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742A94" w14:textId="77777777" w:rsidR="00C440F8"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B9256F2" w14:textId="77777777" w:rsidR="00C440F8"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81E3A09" w14:textId="77777777" w:rsidR="00C440F8" w:rsidRDefault="00000000">
            <w:r>
              <w:rPr>
                <w:color w:val="111111"/>
                <w:sz w:val="18"/>
                <w:szCs w:val="18"/>
              </w:rPr>
              <w:t>Progresivo crítico — caída máxima sin retorno a la línea de base</w:t>
            </w:r>
          </w:p>
        </w:tc>
      </w:tr>
    </w:tbl>
    <w:p w14:paraId="51A0F19C" w14:textId="77777777" w:rsidR="00C440F8"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2661D320" w14:textId="77777777" w:rsidR="00C440F8" w:rsidRDefault="00C440F8">
      <w:pPr>
        <w:spacing w:after="80"/>
      </w:pPr>
    </w:p>
    <w:p w14:paraId="11ED4A38" w14:textId="77777777" w:rsidR="00C440F8" w:rsidRDefault="00C440F8">
      <w:pPr>
        <w:spacing w:after="60"/>
      </w:pPr>
    </w:p>
    <w:p w14:paraId="574506C8" w14:textId="77777777" w:rsidR="00C440F8" w:rsidRDefault="00000000">
      <w:pPr>
        <w:spacing w:before="60" w:after="40"/>
        <w:jc w:val="center"/>
      </w:pPr>
      <w:r>
        <w:rPr>
          <w:b/>
          <w:bCs/>
          <w:color w:val="333333"/>
          <w:sz w:val="18"/>
          <w:szCs w:val="18"/>
        </w:rPr>
        <w:t>Figura 4.3. Perfiles de frecuencia cardíaca (FC, fila A) y movimiento (MOV, fila B) por morfotipo C1–C5.</w:t>
      </w:r>
    </w:p>
    <w:p w14:paraId="0E220897" w14:textId="77777777" w:rsidR="00C440F8" w:rsidRDefault="00000000">
      <w:pPr>
        <w:spacing w:before="80" w:after="40"/>
        <w:jc w:val="center"/>
      </w:pPr>
      <w:r>
        <w:rPr>
          <w:noProof/>
        </w:rPr>
        <w:drawing>
          <wp:inline distT="0" distB="0" distL="0" distR="0" wp14:anchorId="5CC8321F" wp14:editId="0737C0B5">
            <wp:extent cx="4191000" cy="1657350"/>
            <wp:effectExtent l="0" t="0" r="0" b="0"/>
            <wp:docPr id="317315500" name="Imagen 31731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657350"/>
                    </a:xfrm>
                    <a:prstGeom prst="rect">
                      <a:avLst/>
                    </a:prstGeom>
                  </pic:spPr>
                </pic:pic>
              </a:graphicData>
            </a:graphic>
          </wp:inline>
        </w:drawing>
      </w:r>
    </w:p>
    <w:p w14:paraId="4AB04BD7" w14:textId="77777777" w:rsidR="00C440F8" w:rsidRDefault="00000000">
      <w:pPr>
        <w:spacing w:before="20" w:after="200"/>
        <w:jc w:val="center"/>
      </w:pPr>
      <w:r>
        <w:rPr>
          <w:i/>
          <w:iCs/>
          <w:color w:val="555555"/>
          <w:sz w:val="16"/>
          <w:szCs w:val="16"/>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14:paraId="685A5FC7" w14:textId="77777777" w:rsidR="00C440F8" w:rsidRDefault="00C440F8">
      <w:pPr>
        <w:spacing w:after="80"/>
      </w:pPr>
    </w:p>
    <w:p w14:paraId="6E194BFA" w14:textId="77777777" w:rsidR="00C440F8" w:rsidRDefault="00000000">
      <w:pPr>
        <w:pStyle w:val="Ttulo3"/>
      </w:pPr>
      <w:r>
        <w:t>4.2.3  Distribución de morfotipos y carga hipóxica acumulada</w:t>
      </w:r>
    </w:p>
    <w:p w14:paraId="5B84AB3B" w14:textId="77777777" w:rsidR="00C440F8"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w:t>
      </w:r>
      <w:r>
        <w:lastRenderedPageBreak/>
        <w:t xml:space="preserve">de 10,1 pp y sin retorno al </w:t>
      </w:r>
      <w:r>
        <w:rPr>
          <w:i/>
          <w:iCs/>
        </w:rPr>
        <w:t>baseline</w:t>
      </w:r>
      <w:r>
        <w:t>— representó apenas el 0,9 % de los eventos pero presumiblemente la fracción más crítica de la carga hipóxica nocturna.</w:t>
      </w:r>
    </w:p>
    <w:p w14:paraId="0BA9E88E" w14:textId="77777777" w:rsidR="00C440F8" w:rsidRDefault="00000000">
      <w:pPr>
        <w:pStyle w:val="Ttulo3"/>
      </w:pPr>
      <w:r>
        <w:t>4.2.4  Intervalo inter-evento</w:t>
      </w:r>
    </w:p>
    <w:p w14:paraId="104B3534" w14:textId="77777777" w:rsidR="00C440F8" w:rsidRDefault="00000000">
      <w:pPr>
        <w:spacing w:after="160" w:line="276" w:lineRule="auto"/>
        <w:jc w:val="both"/>
      </w:pPr>
      <w:r>
        <w:t>El intervalo inter-evento (IEI) mediano fue de 82 segundos, con el 62,8 % de los pares de eventos consecutivos separados por menos de 2 minutos. Esta distribución sugiere que la apnea obstructiva del sueño se organiza en episodios agrupados más que en eventos aislados, consistente con la descripción de "trenes apneicos" documentada en la literatura (Oliven et al., 2020). El patrón de agrupación temporal también podría tener implicancias para los modelos de predicción de próximo evento (Capítulo 6), dado que la ocurrencia reciente de un EDO constituye un predictor del siguiente.</w:t>
      </w:r>
    </w:p>
    <w:p w14:paraId="3044C669" w14:textId="77777777" w:rsidR="00C440F8" w:rsidRDefault="00000000">
      <w:pPr>
        <w:pStyle w:val="Ttulo3"/>
      </w:pPr>
      <w:r>
        <w:t>4.2.5  Correspondencia con morfotipos escalares (α–δ)</w:t>
      </w:r>
    </w:p>
    <w:p w14:paraId="597C7EAA" w14:textId="35ACFEF8" w:rsidR="00C440F8" w:rsidRDefault="00000000">
      <w:pPr>
        <w:spacing w:after="160" w:line="276" w:lineRule="auto"/>
        <w:jc w:val="both"/>
      </w:pPr>
      <w:r>
        <w:t xml:space="preserve">El pipeline </w:t>
      </w:r>
      <w:r w:rsidR="00854834">
        <w:rPr>
          <w:b/>
          <w:bCs/>
        </w:rPr>
        <w:t>PAC_v3</w:t>
      </w:r>
      <w:r>
        <w:t xml:space="preserve"> cuenta con dos sistemas de morfotipos: el </w:t>
      </w:r>
      <w:r>
        <w:rPr>
          <w:i/>
          <w:iCs/>
        </w:rPr>
        <w:t>data-driven</w:t>
      </w:r>
      <w:r>
        <w:t xml:space="preserve"> de curva (C1–C5, objeto de este capítulo) y el basado en reglas escalares (α/β/γ/δ, construido sobre 10 </w:t>
      </w:r>
      <w:r>
        <w:rPr>
          <w:i/>
          <w:iCs/>
        </w:rPr>
        <w:t>features</w:t>
      </w:r>
      <w:r>
        <w:t xml:space="preserve"> morfológicas resumen). La Tabla 4.3 muestra el </w:t>
      </w:r>
      <w:r>
        <w:rPr>
          <w:i/>
          <w:iCs/>
        </w:rPr>
        <w:t>overlap</w:t>
      </w:r>
      <w:r>
        <w:t xml:space="preserve"> entre ambos sistemas. La convergencia más notable fue la del morfotipo γ </w:t>
      </w:r>
      <w:r>
        <w:rPr>
          <w:i/>
          <w:iCs/>
        </w:rPr>
        <w:t>rule-based</w:t>
      </w:r>
      <w:r>
        <w:t xml:space="preserve">, que concentró C4 y C5 del sistema de curvas (36 % y 26 %, respectivamente). Sin embargo, γ incluyó también un 33 % de eventos C3, mostrando fronteras más difusas que las del sistema de curva. El morfotipo δ </w:t>
      </w:r>
      <w:r>
        <w:rPr>
          <w:i/>
          <w:iCs/>
        </w:rPr>
        <w:t>rule-based</w:t>
      </w:r>
      <w:r>
        <w:t xml:space="preserve">, con 60.878 eventos, careció de correspondencia morfológica limpia, lo que reforzó la decisión de priorizar los </w:t>
      </w:r>
      <w:r>
        <w:rPr>
          <w:i/>
          <w:iCs/>
        </w:rPr>
        <w:t>C-labels</w:t>
      </w:r>
      <w:r>
        <w:t xml:space="preserve"> como referencia para los análisis de severidad.</w:t>
      </w:r>
    </w:p>
    <w:p w14:paraId="18141567" w14:textId="77777777" w:rsidR="00C440F8" w:rsidRDefault="00C440F8">
      <w:pPr>
        <w:spacing w:after="80"/>
      </w:pPr>
    </w:p>
    <w:p w14:paraId="5585DB7F" w14:textId="77777777" w:rsidR="00C440F8" w:rsidRDefault="00000000">
      <w:pPr>
        <w:spacing w:before="80" w:after="80"/>
        <w:jc w:val="center"/>
      </w:pPr>
      <w:r>
        <w:rPr>
          <w:b/>
          <w:bCs/>
          <w:sz w:val="18"/>
          <w:szCs w:val="18"/>
        </w:rPr>
        <w:t>Tabla 4.3. Correspondencia entre morfotipos rule-based (α–δ) y morfotipos de curva (C1–C5).</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1576"/>
        <w:gridCol w:w="1351"/>
        <w:gridCol w:w="4470"/>
      </w:tblGrid>
      <w:tr w:rsidR="00C440F8" w14:paraId="2688CF8A" w14:textId="77777777">
        <w:tblPrEx>
          <w:tblCellMar>
            <w:top w:w="0" w:type="dxa"/>
            <w:bottom w:w="0" w:type="dxa"/>
          </w:tblCellMar>
        </w:tblPrEx>
        <w:trPr>
          <w:tblHeader/>
        </w:trPr>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B427121" w14:textId="77777777" w:rsidR="00C440F8" w:rsidRDefault="00000000">
            <w:pPr>
              <w:jc w:val="center"/>
            </w:pPr>
            <w:r>
              <w:rPr>
                <w:b/>
                <w:bCs/>
                <w:color w:val="FFFFFF"/>
                <w:sz w:val="18"/>
                <w:szCs w:val="18"/>
              </w:rPr>
              <w:t>Morfotipo rule-based</w:t>
            </w:r>
          </w:p>
        </w:tc>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EFAB83D" w14:textId="77777777" w:rsidR="00C440F8" w:rsidRDefault="00000000">
            <w:pPr>
              <w:jc w:val="center"/>
            </w:pPr>
            <w:r>
              <w:rPr>
                <w:b/>
                <w:bCs/>
                <w:color w:val="FFFFFF"/>
                <w:sz w:val="18"/>
                <w:szCs w:val="18"/>
              </w:rPr>
              <w:t>N eventos</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7AA6F2" w14:textId="77777777" w:rsidR="00C440F8" w:rsidRDefault="00000000">
            <w:pPr>
              <w:jc w:val="center"/>
            </w:pPr>
            <w:r>
              <w:rPr>
                <w:b/>
                <w:bCs/>
                <w:color w:val="FFFFFF"/>
                <w:sz w:val="18"/>
                <w:szCs w:val="18"/>
              </w:rPr>
              <w:t>Alineación principal</w:t>
            </w:r>
          </w:p>
        </w:tc>
        <w:tc>
          <w:tcPr>
            <w:tcW w:w="3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36360E3" w14:textId="77777777" w:rsidR="00C440F8" w:rsidRDefault="00000000">
            <w:pPr>
              <w:jc w:val="center"/>
            </w:pPr>
            <w:r>
              <w:rPr>
                <w:b/>
                <w:bCs/>
                <w:color w:val="FFFFFF"/>
                <w:sz w:val="18"/>
                <w:szCs w:val="18"/>
              </w:rPr>
              <w:t>Interpretación</w:t>
            </w:r>
          </w:p>
        </w:tc>
      </w:tr>
      <w:tr w:rsidR="00C440F8" w14:paraId="289987B3"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98EAA43" w14:textId="77777777" w:rsidR="00C440F8" w:rsidRDefault="00000000">
            <w:r>
              <w:rPr>
                <w:color w:val="111111"/>
                <w:sz w:val="18"/>
                <w:szCs w:val="18"/>
              </w:rPr>
              <w:t>α</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6B0F9" w14:textId="77777777" w:rsidR="00C440F8" w:rsidRDefault="00000000">
            <w:pPr>
              <w:jc w:val="center"/>
            </w:pPr>
            <w:r>
              <w:rPr>
                <w:color w:val="111111"/>
                <w:sz w:val="18"/>
                <w:szCs w:val="18"/>
              </w:rPr>
              <w:t>54.714</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5FF1C2" w14:textId="77777777" w:rsidR="00C440F8" w:rsidRDefault="00000000">
            <w:r>
              <w:rPr>
                <w:color w:val="111111"/>
                <w:sz w:val="18"/>
                <w:szCs w:val="18"/>
              </w:rPr>
              <w:t>→ C1 (92,5 %)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CA8D3F" w14:textId="77777777" w:rsidR="00C440F8" w:rsidRDefault="00000000">
            <w:r>
              <w:rPr>
                <w:color w:val="111111"/>
                <w:sz w:val="18"/>
                <w:szCs w:val="18"/>
              </w:rPr>
              <w:t>Corresponde casi en su totalidad al pool subcrítico mayoritario</w:t>
            </w:r>
          </w:p>
        </w:tc>
      </w:tr>
      <w:tr w:rsidR="00C440F8" w14:paraId="6FCF5A3D"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F7A164" w14:textId="77777777" w:rsidR="00C440F8" w:rsidRDefault="00000000">
            <w:r>
              <w:rPr>
                <w:color w:val="111111"/>
                <w:sz w:val="18"/>
                <w:szCs w:val="18"/>
              </w:rPr>
              <w:t>β</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F7381E" w14:textId="77777777" w:rsidR="00C440F8" w:rsidRDefault="00000000">
            <w:pPr>
              <w:jc w:val="center"/>
            </w:pPr>
            <w:r>
              <w:rPr>
                <w:color w:val="111111"/>
                <w:sz w:val="18"/>
                <w:szCs w:val="18"/>
              </w:rPr>
              <w:t>8.795</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30B8FC" w14:textId="77777777" w:rsidR="00C440F8" w:rsidRDefault="00000000">
            <w:r>
              <w:rPr>
                <w:color w:val="111111"/>
                <w:sz w:val="18"/>
                <w:szCs w:val="18"/>
              </w:rPr>
              <w:t>→ C2 (57 %), C3 (19 %)</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35461C" w14:textId="77777777" w:rsidR="00C440F8" w:rsidRDefault="00000000">
            <w:r>
              <w:rPr>
                <w:color w:val="111111"/>
                <w:sz w:val="18"/>
                <w:szCs w:val="18"/>
              </w:rPr>
              <w:t>EDOs leve-moderados con variabilidad de forma</w:t>
            </w:r>
          </w:p>
        </w:tc>
      </w:tr>
      <w:tr w:rsidR="00C440F8" w14:paraId="076D19AB"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C5CD9A" w14:textId="77777777" w:rsidR="00C440F8" w:rsidRDefault="00000000">
            <w:r>
              <w:rPr>
                <w:color w:val="111111"/>
                <w:sz w:val="18"/>
                <w:szCs w:val="18"/>
              </w:rPr>
              <w:t>γ</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6D2E97" w14:textId="77777777" w:rsidR="00C440F8" w:rsidRDefault="00000000">
            <w:pPr>
              <w:jc w:val="center"/>
            </w:pPr>
            <w:r>
              <w:rPr>
                <w:color w:val="111111"/>
                <w:sz w:val="18"/>
                <w:szCs w:val="18"/>
              </w:rPr>
              <w:t>2.892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AA11FB0" w14:textId="77777777" w:rsidR="00C440F8" w:rsidRDefault="00000000">
            <w:r>
              <w:rPr>
                <w:color w:val="111111"/>
                <w:sz w:val="18"/>
                <w:szCs w:val="18"/>
              </w:rPr>
              <w:t>→ C4 (36 %), C5 (26 %), C3 (33 %)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2497727" w14:textId="77777777" w:rsidR="00C440F8" w:rsidRDefault="00000000">
            <w:r>
              <w:rPr>
                <w:color w:val="111111"/>
                <w:sz w:val="18"/>
                <w:szCs w:val="18"/>
              </w:rPr>
              <w:t>Concentra los eventos más severos — mayor carga hipóxica acumulada</w:t>
            </w:r>
          </w:p>
        </w:tc>
      </w:tr>
      <w:tr w:rsidR="00C440F8" w14:paraId="69517376"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7E6A64" w14:textId="77777777" w:rsidR="00C440F8" w:rsidRDefault="00000000">
            <w:r>
              <w:rPr>
                <w:color w:val="111111"/>
                <w:sz w:val="18"/>
                <w:szCs w:val="18"/>
              </w:rPr>
              <w:t>δ</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FC48427" w14:textId="77777777" w:rsidR="00C440F8" w:rsidRDefault="00000000">
            <w:pPr>
              <w:jc w:val="center"/>
            </w:pPr>
            <w:r>
              <w:rPr>
                <w:color w:val="111111"/>
                <w:sz w:val="18"/>
                <w:szCs w:val="18"/>
              </w:rPr>
              <w:t>60.878</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0E8F62" w14:textId="77777777" w:rsidR="00C440F8" w:rsidRDefault="00000000">
            <w:r>
              <w:rPr>
                <w:color w:val="111111"/>
                <w:sz w:val="18"/>
                <w:szCs w:val="18"/>
              </w:rPr>
              <w:t>→ C1 mayoritario + C2</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9F5374" w14:textId="77777777" w:rsidR="00C440F8" w:rsidRDefault="00000000">
            <w:r>
              <w:rPr>
                <w:color w:val="111111"/>
                <w:sz w:val="18"/>
                <w:szCs w:val="18"/>
              </w:rPr>
              <w:t>Pool heterogéneo sin correspondencia morfológica limpia</w:t>
            </w:r>
          </w:p>
        </w:tc>
      </w:tr>
    </w:tbl>
    <w:p w14:paraId="74C76C67" w14:textId="77777777" w:rsidR="00C440F8" w:rsidRDefault="00000000">
      <w:pPr>
        <w:spacing w:before="60" w:after="200"/>
        <w:jc w:val="center"/>
      </w:pPr>
      <w:r>
        <w:rPr>
          <w:i/>
          <w:iCs/>
          <w:color w:val="444444"/>
          <w:sz w:val="18"/>
          <w:szCs w:val="18"/>
        </w:rPr>
        <w:t>Nota. Los porcentajes en la columna de alineación principal indican la fracción de eventos del morfotipo rule-based que pertenecen al morfotipo de curva indicado.</w:t>
      </w:r>
    </w:p>
    <w:p w14:paraId="219692E5" w14:textId="77777777" w:rsidR="00C440F8" w:rsidRDefault="00C440F8">
      <w:pPr>
        <w:spacing w:after="80"/>
      </w:pPr>
    </w:p>
    <w:p w14:paraId="288E2F30" w14:textId="77777777" w:rsidR="00C440F8" w:rsidRDefault="00000000">
      <w:pPr>
        <w:pStyle w:val="Ttulo3"/>
      </w:pPr>
      <w:r>
        <w:t>4.2.6  Estabilidad del fenotipado: ICC entre noches</w:t>
      </w:r>
    </w:p>
    <w:p w14:paraId="71B50FAA" w14:textId="77777777" w:rsidR="00C440F8" w:rsidRDefault="00000000">
      <w:pPr>
        <w:spacing w:after="160" w:line="276" w:lineRule="auto"/>
        <w:jc w:val="both"/>
      </w:pPr>
      <w:r>
        <w:t xml:space="preserve">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w:t>
      </w:r>
      <w:r>
        <w:lastRenderedPageBreak/>
        <w:t>relevancia clínica: la distribución evento-nivel es estable en la cohorte; lo que varía es la asignación noche-a-noche de una fracción pequeña de eventos.</w:t>
      </w:r>
    </w:p>
    <w:p w14:paraId="4A26D4AF" w14:textId="77777777" w:rsidR="00C440F8" w:rsidRDefault="00C440F8">
      <w:pPr>
        <w:spacing w:after="80"/>
      </w:pPr>
    </w:p>
    <w:p w14:paraId="4EBA1504" w14:textId="77777777" w:rsidR="00C440F8" w:rsidRDefault="00000000">
      <w:pPr>
        <w:spacing w:before="80" w:after="80"/>
        <w:jc w:val="center"/>
      </w:pPr>
      <w:r>
        <w:rPr>
          <w:b/>
          <w:bCs/>
          <w:sz w:val="18"/>
          <w:szCs w:val="18"/>
        </w:rPr>
        <w:t>Tabla 4.4. Estabilidad inter-noche de las fracciones de morfotipo. ICC(1,1) calculado sobre cohorte completa.</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026"/>
        <w:gridCol w:w="2476"/>
        <w:gridCol w:w="3120"/>
      </w:tblGrid>
      <w:tr w:rsidR="00C440F8" w14:paraId="30191D22"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3C51351" w14:textId="77777777" w:rsidR="00C440F8"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A82F499" w14:textId="77777777" w:rsidR="00C440F8"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CEE7A2F" w14:textId="77777777" w:rsidR="00C440F8"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3D2266F" w14:textId="77777777" w:rsidR="00C440F8" w:rsidRDefault="00000000">
            <w:pPr>
              <w:jc w:val="center"/>
            </w:pPr>
            <w:r>
              <w:rPr>
                <w:b/>
                <w:bCs/>
                <w:color w:val="FFFFFF"/>
                <w:sz w:val="18"/>
                <w:szCs w:val="18"/>
              </w:rPr>
              <w:t>Observación</w:t>
            </w:r>
          </w:p>
        </w:tc>
      </w:tr>
      <w:tr w:rsidR="00C440F8" w14:paraId="11B5631F"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E7F6CA7" w14:textId="77777777" w:rsidR="00C440F8"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9783191" w14:textId="77777777" w:rsidR="00C440F8"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312348E" w14:textId="77777777" w:rsidR="00C440F8"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772438" w14:textId="77777777" w:rsidR="00C440F8" w:rsidRDefault="00000000">
            <w:r>
              <w:rPr>
                <w:color w:val="111111"/>
                <w:sz w:val="18"/>
                <w:szCs w:val="18"/>
              </w:rPr>
              <w:t>Fracción nocturna reproducible — el morfotipo mayoritario</w:t>
            </w:r>
          </w:p>
        </w:tc>
      </w:tr>
      <w:tr w:rsidR="00C440F8" w14:paraId="0E130944"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6A84984" w14:textId="77777777" w:rsidR="00C440F8"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1194211" w14:textId="77777777" w:rsidR="00C440F8"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1085C6B" w14:textId="77777777" w:rsidR="00C440F8"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8CE5156" w14:textId="77777777" w:rsidR="00C440F8" w:rsidRDefault="00000000">
            <w:r>
              <w:rPr>
                <w:color w:val="111111"/>
                <w:sz w:val="18"/>
                <w:szCs w:val="18"/>
              </w:rPr>
              <w:t>El morfotipo más estable; útil como referencia longitudinal</w:t>
            </w:r>
          </w:p>
        </w:tc>
      </w:tr>
      <w:tr w:rsidR="00C440F8" w14:paraId="0850DD6E"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5731F3" w14:textId="77777777" w:rsidR="00C440F8"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3EC41" w14:textId="77777777" w:rsidR="00C440F8"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C2B3D33" w14:textId="77777777" w:rsidR="00C440F8"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D7A139" w14:textId="77777777" w:rsidR="00C440F8" w:rsidRDefault="00000000">
            <w:r>
              <w:rPr>
                <w:color w:val="111111"/>
                <w:sz w:val="18"/>
                <w:szCs w:val="18"/>
              </w:rPr>
              <w:t>Alta variabilidad intra-paciente; eventos raros por noche</w:t>
            </w:r>
          </w:p>
        </w:tc>
      </w:tr>
      <w:tr w:rsidR="00C440F8" w14:paraId="410F33C3"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4B70A5" w14:textId="77777777" w:rsidR="00C440F8"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2D3FCF" w14:textId="77777777" w:rsidR="00C440F8"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F5C82E" w14:textId="77777777" w:rsidR="00C440F8"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00D80B4" w14:textId="77777777" w:rsidR="00C440F8" w:rsidRDefault="00000000">
            <w:r>
              <w:rPr>
                <w:color w:val="111111"/>
                <w:sz w:val="18"/>
                <w:szCs w:val="18"/>
              </w:rPr>
              <w:t>Algo más estable que C3 pese a menor prevalencia media</w:t>
            </w:r>
          </w:p>
        </w:tc>
      </w:tr>
      <w:tr w:rsidR="00C440F8" w14:paraId="0D45FBD1"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F41866B" w14:textId="77777777" w:rsidR="00C440F8"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FCEBB1F" w14:textId="77777777" w:rsidR="00C440F8"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8ED5EAB" w14:textId="77777777" w:rsidR="00C440F8"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5587C3" w14:textId="77777777" w:rsidR="00C440F8" w:rsidRDefault="00000000">
            <w:r>
              <w:rPr>
                <w:color w:val="111111"/>
                <w:sz w:val="18"/>
                <w:szCs w:val="18"/>
              </w:rPr>
              <w:t>Clustering compacto compensa la escasez; el mayor ICC entre los severos</w:t>
            </w:r>
          </w:p>
        </w:tc>
      </w:tr>
    </w:tbl>
    <w:p w14:paraId="50DA2856" w14:textId="77777777" w:rsidR="00C440F8" w:rsidRDefault="00000000">
      <w:pPr>
        <w:spacing w:before="60" w:after="200"/>
        <w:jc w:val="center"/>
      </w:pPr>
      <w:r>
        <w:rPr>
          <w:i/>
          <w:iCs/>
          <w:color w:val="444444"/>
          <w:sz w:val="18"/>
          <w:szCs w:val="18"/>
        </w:rPr>
        <w:t>Nota. ICC(1,1): coeficiente de correlación intraclase modelo 1. Criterios de interpretación: &lt; 0,50 = pobre; 0,50–0,75 = moderado; 0,75–0,90 = bueno; &gt; 0,90 = excelente (Koo &amp; Li, 2016). Cálculo sobre fracciones nocturnas medias de gold/nights.parquet, cohorte full (12 pacientes).</w:t>
      </w:r>
    </w:p>
    <w:p w14:paraId="5C4A59E9" w14:textId="77777777" w:rsidR="00C440F8" w:rsidRDefault="00C440F8">
      <w:pPr>
        <w:spacing w:after="80"/>
      </w:pPr>
    </w:p>
    <w:p w14:paraId="2B68245A" w14:textId="77777777" w:rsidR="00C440F8" w:rsidRDefault="00000000">
      <w:pPr>
        <w:pStyle w:val="Ttulo2"/>
      </w:pPr>
      <w:r>
        <w:t>4.3  Diagnóstico del IRD y definición del ARI (NB02)</w:t>
      </w:r>
    </w:p>
    <w:p w14:paraId="554748F7" w14:textId="77777777" w:rsidR="00C440F8"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Respuesta Autonómica (ARI) como alternativa validada.</w:t>
      </w:r>
    </w:p>
    <w:p w14:paraId="2AC71562" w14:textId="77777777" w:rsidR="00C440F8" w:rsidRDefault="00000000">
      <w:pPr>
        <w:pStyle w:val="Ttulo3"/>
      </w:pPr>
      <w:r>
        <w:t>4.3.1  Bug de escala en el IRD original</w:t>
      </w:r>
    </w:p>
    <w:p w14:paraId="328C086D" w14:textId="77777777" w:rsidR="00C440F8"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12BFD70" w14:textId="77777777" w:rsidR="00C440F8" w:rsidRDefault="00C440F8">
      <w:pPr>
        <w:spacing w:after="80"/>
      </w:pPr>
    </w:p>
    <w:p w14:paraId="4FA6823C" w14:textId="77777777" w:rsidR="00C440F8" w:rsidRDefault="00000000">
      <w:pPr>
        <w:spacing w:before="80" w:after="80"/>
        <w:jc w:val="center"/>
      </w:pPr>
      <w:r>
        <w:rPr>
          <w:b/>
          <w:bCs/>
          <w:sz w:val="18"/>
          <w:szCs w:val="18"/>
        </w:rPr>
        <w:t>Tabla 4.5. Contribución efectiva de cada componente al IRD original (N = 84.248 EDOs con morfotipo asignado).</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600"/>
        <w:gridCol w:w="1700"/>
        <w:gridCol w:w="1872"/>
      </w:tblGrid>
      <w:tr w:rsidR="00C440F8" w14:paraId="378A4547"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DF1BC0" w14:textId="77777777" w:rsidR="00C440F8"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387A6E" w14:textId="77777777" w:rsidR="00C440F8"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BD9418" w14:textId="77777777" w:rsidR="00C440F8"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FE73728" w14:textId="77777777" w:rsidR="00C440F8"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43BDC95" w14:textId="77777777" w:rsidR="00C440F8" w:rsidRDefault="00000000">
            <w:pPr>
              <w:jc w:val="center"/>
            </w:pPr>
            <w:r>
              <w:rPr>
                <w:b/>
                <w:bCs/>
                <w:color w:val="FFFFFF"/>
                <w:sz w:val="18"/>
                <w:szCs w:val="18"/>
              </w:rPr>
              <w:t>Peso nominal</w:t>
            </w:r>
          </w:p>
        </w:tc>
      </w:tr>
      <w:tr w:rsidR="00C440F8" w14:paraId="18812DBA"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E908617" w14:textId="77777777" w:rsidR="00C440F8"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74FD45" w14:textId="77777777" w:rsidR="00C440F8"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824FC89" w14:textId="77777777" w:rsidR="00C440F8"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F8DDA5" w14:textId="77777777" w:rsidR="00C440F8"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5C06E4" w14:textId="77777777" w:rsidR="00C440F8" w:rsidRDefault="00000000">
            <w:pPr>
              <w:jc w:val="center"/>
            </w:pPr>
            <w:r>
              <w:rPr>
                <w:color w:val="111111"/>
                <w:sz w:val="18"/>
                <w:szCs w:val="18"/>
              </w:rPr>
              <w:t>50 %</w:t>
            </w:r>
          </w:p>
        </w:tc>
      </w:tr>
      <w:tr w:rsidR="00C440F8" w14:paraId="651960C0"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EC3E454" w14:textId="77777777" w:rsidR="00C440F8" w:rsidRDefault="00000000">
            <w:r>
              <w:rPr>
                <w:color w:val="111111"/>
                <w:sz w:val="18"/>
                <w:szCs w:val="18"/>
              </w:rPr>
              <w:lastRenderedPageBreak/>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1B475A" w14:textId="77777777" w:rsidR="00C440F8"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8D238F" w14:textId="77777777" w:rsidR="00C440F8"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A99F2F4" w14:textId="77777777" w:rsidR="00C440F8"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F0A317E" w14:textId="77777777" w:rsidR="00C440F8" w:rsidRDefault="00000000">
            <w:pPr>
              <w:jc w:val="center"/>
            </w:pPr>
            <w:r>
              <w:rPr>
                <w:color w:val="111111"/>
                <w:sz w:val="18"/>
                <w:szCs w:val="18"/>
              </w:rPr>
              <w:t>30 %</w:t>
            </w:r>
          </w:p>
        </w:tc>
      </w:tr>
      <w:tr w:rsidR="00C440F8" w14:paraId="18C29D69"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A18583" w14:textId="77777777" w:rsidR="00C440F8"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8BAB4F" w14:textId="77777777" w:rsidR="00C440F8"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37E2CB" w14:textId="77777777" w:rsidR="00C440F8"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4047191" w14:textId="77777777" w:rsidR="00C440F8"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85B01F" w14:textId="77777777" w:rsidR="00C440F8" w:rsidRDefault="00000000">
            <w:pPr>
              <w:jc w:val="center"/>
            </w:pPr>
            <w:r>
              <w:rPr>
                <w:color w:val="111111"/>
                <w:sz w:val="18"/>
                <w:szCs w:val="18"/>
              </w:rPr>
              <w:t>20 %</w:t>
            </w:r>
          </w:p>
        </w:tc>
      </w:tr>
    </w:tbl>
    <w:p w14:paraId="7D1D7A44" w14:textId="77777777" w:rsidR="00C440F8"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6EE87A96" w14:textId="77777777" w:rsidR="00C440F8" w:rsidRDefault="00C440F8">
      <w:pPr>
        <w:spacing w:after="80"/>
      </w:pPr>
    </w:p>
    <w:p w14:paraId="67B3BE4E" w14:textId="77777777" w:rsidR="00C440F8" w:rsidRDefault="00000000">
      <w:pPr>
        <w:pStyle w:val="Ttulo3"/>
      </w:pPr>
      <w:r>
        <w:t>4.3.2  Propiedades empíricas del ARI</w:t>
      </w:r>
    </w:p>
    <w:p w14:paraId="7598B33D" w14:textId="77777777" w:rsidR="00C440F8" w:rsidRDefault="00000000">
      <w:pPr>
        <w:spacing w:after="160" w:line="276" w:lineRule="auto"/>
        <w:jc w:val="both"/>
      </w:pPr>
      <w:r>
        <w:t>A partir del diagnóstico del IRD, se definió el ARI (Índice de Respuesta Autonómica) —cuya fórmula exacta se explicitó en §3.4— como un cociente respuesta/estímulo percentilizado a nivel de corpus. La propiedad más destacada del ARI en esta cohorte fue su escasa correlación con la severidad hipóxica: la correlación de Spearman entre el ARI 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7E21237E" w14:textId="77777777" w:rsidR="00C440F8" w:rsidRDefault="00C440F8">
      <w:pPr>
        <w:spacing w:after="60"/>
      </w:pPr>
    </w:p>
    <w:p w14:paraId="585B8E09" w14:textId="77777777" w:rsidR="00C440F8" w:rsidRDefault="00000000">
      <w:pPr>
        <w:spacing w:before="60" w:after="40"/>
        <w:jc w:val="center"/>
      </w:pPr>
      <w:r>
        <w:rPr>
          <w:b/>
          <w:bCs/>
          <w:color w:val="333333"/>
          <w:sz w:val="18"/>
          <w:szCs w:val="18"/>
        </w:rPr>
        <w:t>Figura 4.4. Distribución del ARI por morfotipo y relación con severidad morfológica.</w:t>
      </w:r>
    </w:p>
    <w:p w14:paraId="4B64D373" w14:textId="77777777" w:rsidR="00C440F8" w:rsidRDefault="00000000">
      <w:pPr>
        <w:spacing w:before="80" w:after="40"/>
        <w:jc w:val="center"/>
      </w:pPr>
      <w:r>
        <w:rPr>
          <w:noProof/>
        </w:rPr>
        <w:drawing>
          <wp:inline distT="0" distB="0" distL="0" distR="0" wp14:anchorId="00E89362" wp14:editId="756ACFD8">
            <wp:extent cx="4191000" cy="1743075"/>
            <wp:effectExtent l="0" t="0" r="0" b="0"/>
            <wp:docPr id="1207068144" name="Imagen 120706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43075"/>
                    </a:xfrm>
                    <a:prstGeom prst="rect">
                      <a:avLst/>
                    </a:prstGeom>
                  </pic:spPr>
                </pic:pic>
              </a:graphicData>
            </a:graphic>
          </wp:inline>
        </w:drawing>
      </w:r>
    </w:p>
    <w:p w14:paraId="7610B6FE" w14:textId="77777777" w:rsidR="00C440F8"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14:paraId="7A4934C4" w14:textId="77777777" w:rsidR="00C440F8" w:rsidRDefault="00C440F8">
      <w:pPr>
        <w:spacing w:after="80"/>
      </w:pPr>
    </w:p>
    <w:p w14:paraId="657A4534" w14:textId="77777777" w:rsidR="00C440F8" w:rsidRDefault="00000000">
      <w:pPr>
        <w:pStyle w:val="Ttulo3"/>
      </w:pPr>
      <w:r>
        <w:t>4.3.3  Perfil autonómico por morfotipo y el paradox del C5</w:t>
      </w:r>
    </w:p>
    <w:p w14:paraId="1EBDBB6D" w14:textId="77777777" w:rsidR="00C440F8"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xml:space="preserve">: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w:t>
      </w:r>
      <w:r>
        <w:lastRenderedPageBreak/>
        <w:t>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w:t>
      </w:r>
    </w:p>
    <w:p w14:paraId="6FCC0EC6" w14:textId="77777777" w:rsidR="00C440F8" w:rsidRDefault="00000000">
      <w:pPr>
        <w:spacing w:after="160" w:line="276" w:lineRule="auto"/>
        <w:jc w:val="both"/>
      </w:pPr>
      <w:r>
        <w:t>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14:paraId="025FBB64" w14:textId="77777777" w:rsidR="00C440F8" w:rsidRDefault="00C440F8">
      <w:pPr>
        <w:spacing w:after="80"/>
      </w:pPr>
    </w:p>
    <w:p w14:paraId="2DA4AFBD" w14:textId="77777777" w:rsidR="00C440F8" w:rsidRDefault="00000000">
      <w:pPr>
        <w:spacing w:before="80" w:after="80"/>
        <w:jc w:val="center"/>
      </w:pPr>
      <w:r>
        <w:rPr>
          <w:b/>
          <w:bCs/>
          <w:sz w:val="18"/>
          <w:szCs w:val="18"/>
        </w:rPr>
        <w:t>Tabla 4.6. Perfil autonómico por morfotipo de curva SpO₂ (ARI y HR gain mediana, corpus completo).</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700"/>
        <w:gridCol w:w="1700"/>
        <w:gridCol w:w="3172"/>
      </w:tblGrid>
      <w:tr w:rsidR="00C440F8" w14:paraId="2627D38E"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1F6B949" w14:textId="77777777" w:rsidR="00C440F8" w:rsidRDefault="00000000">
            <w:pPr>
              <w:jc w:val="center"/>
            </w:pPr>
            <w:r>
              <w:rPr>
                <w:b/>
                <w:bCs/>
                <w:color w:val="FFFFFF"/>
                <w:sz w:val="18"/>
                <w:szCs w:val="18"/>
              </w:rPr>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12EE4E9" w14:textId="77777777" w:rsidR="00C440F8"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F108BBF" w14:textId="77777777" w:rsidR="00C440F8"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CDF4B4" w14:textId="77777777" w:rsidR="00C440F8"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03180D3" w14:textId="77777777" w:rsidR="00C440F8" w:rsidRDefault="00000000">
            <w:pPr>
              <w:jc w:val="center"/>
            </w:pPr>
            <w:r>
              <w:rPr>
                <w:b/>
                <w:bCs/>
                <w:color w:val="FFFFFF"/>
                <w:sz w:val="18"/>
                <w:szCs w:val="18"/>
              </w:rPr>
              <w:t>Perfil autonómico</w:t>
            </w:r>
          </w:p>
        </w:tc>
      </w:tr>
      <w:tr w:rsidR="00C440F8" w14:paraId="5A20A06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0EBAB34" w14:textId="77777777" w:rsidR="00C440F8"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13C1B5" w14:textId="77777777" w:rsidR="00C440F8"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CFB1219" w14:textId="77777777" w:rsidR="00C440F8"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F21EA7" w14:textId="77777777" w:rsidR="00C440F8"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EB0C8" w14:textId="77777777" w:rsidR="00C440F8" w:rsidRDefault="00000000">
            <w:r>
              <w:rPr>
                <w:color w:val="111111"/>
                <w:sz w:val="18"/>
                <w:szCs w:val="18"/>
              </w:rPr>
              <w:t>Respuesta cardíaca relativamente conservada</w:t>
            </w:r>
          </w:p>
        </w:tc>
      </w:tr>
      <w:tr w:rsidR="00C440F8" w14:paraId="0B4767D4"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0B66EA7" w14:textId="77777777" w:rsidR="00C440F8"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BFDCCD" w14:textId="77777777" w:rsidR="00C440F8"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86800A" w14:textId="77777777" w:rsidR="00C440F8"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AEAB1C2" w14:textId="77777777" w:rsidR="00C440F8"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B24D2D" w14:textId="77777777" w:rsidR="00C440F8" w:rsidRDefault="00000000">
            <w:r>
              <w:rPr>
                <w:color w:val="111111"/>
                <w:sz w:val="18"/>
                <w:szCs w:val="18"/>
              </w:rPr>
              <w:t>Respuesta ligeramente reducida — eventos de mayor duración</w:t>
            </w:r>
          </w:p>
        </w:tc>
      </w:tr>
      <w:tr w:rsidR="00C440F8" w14:paraId="386B58F8"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D66F77F" w14:textId="77777777" w:rsidR="00C440F8"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31A7EB" w14:textId="77777777" w:rsidR="00C440F8"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03A19C" w14:textId="77777777" w:rsidR="00C440F8"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5BC334" w14:textId="77777777" w:rsidR="00C440F8"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5C7118" w14:textId="77777777" w:rsidR="00C440F8" w:rsidRDefault="00000000">
            <w:r>
              <w:rPr>
                <w:color w:val="111111"/>
                <w:sz w:val="18"/>
                <w:szCs w:val="18"/>
              </w:rPr>
              <w:t>Respuesta atenuada relativa al estímulo — eventos severos agudos breves</w:t>
            </w:r>
          </w:p>
        </w:tc>
      </w:tr>
      <w:tr w:rsidR="00C440F8" w14:paraId="24831DAB"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41053A" w14:textId="77777777" w:rsidR="00C440F8"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724176" w14:textId="77777777" w:rsidR="00C440F8"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04618F8" w14:textId="77777777" w:rsidR="00C440F8"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C38B869" w14:textId="77777777" w:rsidR="00C440F8"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077793" w14:textId="77777777" w:rsidR="00C440F8" w:rsidRDefault="00000000">
            <w:r>
              <w:rPr>
                <w:color w:val="111111"/>
                <w:sz w:val="18"/>
                <w:szCs w:val="18"/>
              </w:rPr>
              <w:t>Respuesta cardíaca proporcionalmente baja pese a caída severa</w:t>
            </w:r>
          </w:p>
        </w:tc>
      </w:tr>
      <w:tr w:rsidR="00C440F8" w14:paraId="7A536D3B"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515E5BD" w14:textId="77777777" w:rsidR="00C440F8"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41B5B7A" w14:textId="77777777" w:rsidR="00C440F8"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912CA9" w14:textId="77777777" w:rsidR="00C440F8"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46B4B54" w14:textId="77777777" w:rsidR="00C440F8"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3599A0" w14:textId="77777777" w:rsidR="00C440F8" w:rsidRDefault="00000000">
            <w:r>
              <w:rPr>
                <w:color w:val="111111"/>
                <w:sz w:val="18"/>
                <w:szCs w:val="18"/>
              </w:rPr>
              <w:t>Respuesta cardíaca prácticamente nula — compatible con atenuación autonómica; requiere validación externa</w:t>
            </w:r>
          </w:p>
        </w:tc>
      </w:tr>
    </w:tbl>
    <w:p w14:paraId="6D927607" w14:textId="77777777" w:rsidR="00C440F8"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26C6E5A7" w14:textId="77777777" w:rsidR="00C440F8" w:rsidRDefault="00C440F8">
      <w:pPr>
        <w:spacing w:after="80"/>
      </w:pPr>
    </w:p>
    <w:p w14:paraId="3764FBEE" w14:textId="77777777" w:rsidR="00C440F8" w:rsidRDefault="00C440F8">
      <w:pPr>
        <w:spacing w:after="60"/>
      </w:pPr>
    </w:p>
    <w:p w14:paraId="38219F25" w14:textId="77777777" w:rsidR="00C440F8" w:rsidRDefault="00000000">
      <w:pPr>
        <w:spacing w:before="60" w:after="40"/>
        <w:jc w:val="center"/>
      </w:pPr>
      <w:r>
        <w:rPr>
          <w:b/>
          <w:bCs/>
          <w:color w:val="333333"/>
          <w:sz w:val="18"/>
          <w:szCs w:val="18"/>
        </w:rPr>
        <w:t>Figura 4.5. Análisis within-stratum del ARI: diferencias entre ARI-alto y ARI-bajo dentro de cada estrato de severidad ODI3.</w:t>
      </w:r>
    </w:p>
    <w:p w14:paraId="7CE3256E" w14:textId="77777777" w:rsidR="00C440F8" w:rsidRDefault="00000000">
      <w:pPr>
        <w:spacing w:before="80" w:after="40"/>
        <w:jc w:val="center"/>
      </w:pPr>
      <w:r>
        <w:rPr>
          <w:noProof/>
        </w:rPr>
        <w:drawing>
          <wp:inline distT="0" distB="0" distL="0" distR="0" wp14:anchorId="1DB488FC" wp14:editId="31F7DFA0">
            <wp:extent cx="4191000" cy="1276350"/>
            <wp:effectExtent l="0" t="0" r="0" b="0"/>
            <wp:docPr id="2078973518" name="Imagen 207897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276350"/>
                    </a:xfrm>
                    <a:prstGeom prst="rect">
                      <a:avLst/>
                    </a:prstGeom>
                  </pic:spPr>
                </pic:pic>
              </a:graphicData>
            </a:graphic>
          </wp:inline>
        </w:drawing>
      </w:r>
    </w:p>
    <w:p w14:paraId="311FE8BE" w14:textId="77777777" w:rsidR="00C440F8" w:rsidRDefault="00000000">
      <w:pPr>
        <w:spacing w:before="20" w:after="200"/>
        <w:jc w:val="center"/>
      </w:pPr>
      <w:r>
        <w:rPr>
          <w:i/>
          <w:iCs/>
          <w:color w:val="555555"/>
          <w:sz w:val="16"/>
          <w:szCs w:val="16"/>
        </w:rPr>
        <w:t>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14:paraId="30309D90" w14:textId="77777777" w:rsidR="00C440F8" w:rsidRDefault="00C440F8">
      <w:pPr>
        <w:spacing w:after="80"/>
      </w:pPr>
    </w:p>
    <w:p w14:paraId="54195D4D" w14:textId="77777777" w:rsidR="00C440F8" w:rsidRDefault="00000000">
      <w:pPr>
        <w:pStyle w:val="Ttulo3"/>
      </w:pPr>
      <w:r>
        <w:lastRenderedPageBreak/>
        <w:t>4.3.4  Estabilidad inter-noche del ARI</w:t>
      </w:r>
    </w:p>
    <w:p w14:paraId="6C1D3174" w14:textId="77777777" w:rsidR="00C440F8"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6FF3138" w14:textId="77777777" w:rsidR="00C440F8" w:rsidRDefault="00C440F8">
      <w:pPr>
        <w:spacing w:after="80"/>
      </w:pPr>
    </w:p>
    <w:p w14:paraId="770FF168" w14:textId="77777777" w:rsidR="00C440F8" w:rsidRDefault="00000000">
      <w:pPr>
        <w:pStyle w:val="Ttulo2"/>
      </w:pPr>
      <w:r>
        <w:t>4.4  Síntesis de features nocturnas derivadas (NB03)</w:t>
      </w:r>
    </w:p>
    <w:p w14:paraId="39AD083C" w14:textId="77777777" w:rsidR="00C440F8"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3E21BD63" w14:textId="77777777" w:rsidR="00C440F8" w:rsidRDefault="00C440F8">
      <w:pPr>
        <w:spacing w:after="80"/>
      </w:pPr>
    </w:p>
    <w:p w14:paraId="2F6B65C5" w14:textId="77777777" w:rsidR="00C440F8" w:rsidRDefault="00000000">
      <w:pPr>
        <w:pStyle w:val="Ttulo2"/>
      </w:pPr>
      <w:r>
        <w:t>4.5  Validación de reproducibilidad multi-noche</w:t>
      </w:r>
    </w:p>
    <w:p w14:paraId="462BF222" w14:textId="77777777" w:rsidR="00C440F8" w:rsidRDefault="00000000">
      <w:pPr>
        <w:spacing w:after="160" w:line="276" w:lineRule="auto"/>
        <w:jc w:val="both"/>
      </w:pPr>
      <w:r>
        <w:t xml:space="preserve">Una limitación inherente al monitoreo ambulatorio es la variabilidad noche-a-noche: el ODI3 puede variar un 30–50 % entre noches consecutivas del mismo paciente (Bittencourt et al., 2001; Levendowski et al., 2009). Para cuantificar esta variabilidad y determinar cuántas noches serían suficientes para una estimación estable, se construyeron curvas de estabilización mediante </w:t>
      </w:r>
      <w:r>
        <w:rPr>
          <w:i/>
          <w:iCs/>
        </w:rPr>
        <w:t>bootstrapping</w:t>
      </w:r>
      <w:r>
        <w:t xml:space="preserve"> (300 iteraciones por paciente) con ventanas acumulativas de 1 a 14 noches.</w:t>
      </w:r>
    </w:p>
    <w:p w14:paraId="1EF4EBB4" w14:textId="77777777" w:rsidR="00C440F8" w:rsidRDefault="00000000">
      <w:pPr>
        <w:pStyle w:val="Ttulo3"/>
      </w:pPr>
      <w:r>
        <w:t>4.5.1  Estabilización del ODI3 con el número de noches</w:t>
      </w:r>
    </w:p>
    <w:p w14:paraId="35031AB4" w14:textId="77777777" w:rsidR="00C440F8" w:rsidRDefault="00000000">
      <w:pPr>
        <w:spacing w:after="160" w:line="276" w:lineRule="auto"/>
        <w:jc w:val="both"/>
      </w:pPr>
      <w:r>
        <w:t>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14:paraId="53243BB7" w14:textId="77777777" w:rsidR="00C440F8" w:rsidRDefault="00C440F8">
      <w:pPr>
        <w:spacing w:after="80"/>
      </w:pPr>
    </w:p>
    <w:p w14:paraId="3013AA88" w14:textId="77777777" w:rsidR="00C440F8" w:rsidRDefault="00000000">
      <w:pPr>
        <w:spacing w:before="80" w:after="80"/>
        <w:jc w:val="center"/>
      </w:pPr>
      <w:r>
        <w:rPr>
          <w:b/>
          <w:bCs/>
          <w:sz w:val="18"/>
          <w:szCs w:val="18"/>
        </w:rPr>
        <w:t>Tabla 4.7. ICC(1,1) por métrica en cohortes full y strict.</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500"/>
        <w:gridCol w:w="1200"/>
        <w:gridCol w:w="2572"/>
      </w:tblGrid>
      <w:tr w:rsidR="00C440F8" w14:paraId="2293011B"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1EF15" w14:textId="77777777" w:rsidR="00C440F8" w:rsidRDefault="00000000">
            <w:pPr>
              <w:jc w:val="center"/>
            </w:pPr>
            <w:r>
              <w:rPr>
                <w:b/>
                <w:bCs/>
                <w:color w:val="FFFFFF"/>
                <w:sz w:val="18"/>
                <w:szCs w:val="18"/>
              </w:rPr>
              <w:lastRenderedPageBreak/>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BDE3FF" w14:textId="77777777" w:rsidR="00C440F8"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E0B915" w14:textId="77777777" w:rsidR="00C440F8"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290F75" w14:textId="77777777" w:rsidR="00C440F8"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D42B128" w14:textId="77777777" w:rsidR="00C440F8" w:rsidRDefault="00000000">
            <w:pPr>
              <w:jc w:val="center"/>
            </w:pPr>
            <w:r>
              <w:rPr>
                <w:b/>
                <w:bCs/>
                <w:color w:val="FFFFFF"/>
                <w:sz w:val="18"/>
                <w:szCs w:val="18"/>
              </w:rPr>
              <w:t>Interpretación</w:t>
            </w:r>
          </w:p>
        </w:tc>
      </w:tr>
      <w:tr w:rsidR="00C440F8" w14:paraId="08FAE3F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9E3DC6" w14:textId="77777777" w:rsidR="00C440F8"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B4D462" w14:textId="77777777" w:rsidR="00C440F8"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448C63" w14:textId="77777777" w:rsidR="00C440F8"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CABB88" w14:textId="77777777" w:rsidR="00C440F8"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93D22" w14:textId="77777777" w:rsidR="00C440F8" w:rsidRDefault="00000000">
            <w:r>
              <w:rPr>
                <w:color w:val="111111"/>
                <w:sz w:val="18"/>
                <w:szCs w:val="18"/>
              </w:rPr>
              <w:t>Moderado estable en ambas cohortes</w:t>
            </w:r>
          </w:p>
        </w:tc>
      </w:tr>
      <w:tr w:rsidR="00C440F8" w14:paraId="619AE14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C0877CA" w14:textId="77777777" w:rsidR="00C440F8"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E8456F" w14:textId="77777777" w:rsidR="00C440F8"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8BC6244" w14:textId="77777777" w:rsidR="00C440F8"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12AFF9" w14:textId="77777777" w:rsidR="00C440F8"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F5967C" w14:textId="77777777" w:rsidR="00C440F8" w:rsidRDefault="00000000">
            <w:r>
              <w:rPr>
                <w:color w:val="111111"/>
                <w:sz w:val="18"/>
                <w:szCs w:val="18"/>
              </w:rPr>
              <w:t>Mejora sustancial: pobre → moderado</w:t>
            </w:r>
          </w:p>
        </w:tc>
      </w:tr>
      <w:tr w:rsidR="00C440F8" w14:paraId="04CB428D"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DC10630" w14:textId="77777777" w:rsidR="00C440F8"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17050D" w14:textId="77777777" w:rsidR="00C440F8"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9A49B" w14:textId="77777777" w:rsidR="00C440F8"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9CA2D3" w14:textId="77777777" w:rsidR="00C440F8"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1F74A8" w14:textId="77777777" w:rsidR="00C440F8" w:rsidRDefault="00000000">
            <w:r>
              <w:rPr>
                <w:color w:val="111111"/>
                <w:sz w:val="18"/>
                <w:szCs w:val="18"/>
              </w:rPr>
              <w:t>Moderado → próximo a bueno</w:t>
            </w:r>
          </w:p>
        </w:tc>
      </w:tr>
      <w:tr w:rsidR="00C440F8" w14:paraId="1DF798D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4C4D5D2" w14:textId="77777777" w:rsidR="00C440F8"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E4B8E6B" w14:textId="77777777" w:rsidR="00C440F8"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A34A09" w14:textId="77777777" w:rsidR="00C440F8"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5BE05C" w14:textId="77777777" w:rsidR="00C440F8"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BAFFE4" w14:textId="77777777" w:rsidR="00C440F8" w:rsidRDefault="00000000">
            <w:r>
              <w:rPr>
                <w:color w:val="111111"/>
                <w:sz w:val="18"/>
                <w:szCs w:val="18"/>
              </w:rPr>
              <w:t>Moderado estable — rasgo del paciente</w:t>
            </w:r>
          </w:p>
        </w:tc>
      </w:tr>
      <w:tr w:rsidR="00C440F8" w14:paraId="7F07B95C"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AEF666" w14:textId="77777777" w:rsidR="00C440F8"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92F8AC8" w14:textId="77777777" w:rsidR="00C440F8"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FEC11CC" w14:textId="77777777" w:rsidR="00C440F8"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736B3D" w14:textId="77777777" w:rsidR="00C440F8"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E602D6" w14:textId="77777777" w:rsidR="00C440F8" w:rsidRDefault="00000000">
            <w:r>
              <w:rPr>
                <w:color w:val="111111"/>
                <w:sz w:val="18"/>
                <w:szCs w:val="18"/>
              </w:rPr>
              <w:t>Pobre en ambas — limitación del dispositivo</w:t>
            </w:r>
          </w:p>
        </w:tc>
      </w:tr>
    </w:tbl>
    <w:p w14:paraId="665EF4A8" w14:textId="77777777" w:rsidR="00C440F8"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(490 noches).</w:t>
      </w:r>
    </w:p>
    <w:p w14:paraId="63DCC2FF" w14:textId="77777777" w:rsidR="00C440F8" w:rsidRDefault="00C440F8">
      <w:pPr>
        <w:spacing w:after="80"/>
      </w:pPr>
    </w:p>
    <w:p w14:paraId="2731950B" w14:textId="77777777" w:rsidR="00C440F8" w:rsidRDefault="00C440F8">
      <w:pPr>
        <w:spacing w:after="80"/>
      </w:pPr>
    </w:p>
    <w:p w14:paraId="342F89C2" w14:textId="77777777" w:rsidR="00C440F8" w:rsidRDefault="00000000">
      <w:pPr>
        <w:spacing w:before="80" w:after="80"/>
        <w:jc w:val="center"/>
      </w:pPr>
      <w:r>
        <w:rPr>
          <w:b/>
          <w:bCs/>
          <w:sz w:val="18"/>
          <w:szCs w:val="18"/>
        </w:rPr>
        <w:t>Tabla 4.8. Estabilización del ODI3 con el número de noches promediadas (cohorte estricta, 8 pacientes).</w:t>
      </w:r>
    </w:p>
    <w:tbl>
      <w:tblPr>
        <w:tblW w:w="8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00"/>
        <w:gridCol w:w="2100"/>
        <w:gridCol w:w="2972"/>
      </w:tblGrid>
      <w:tr w:rsidR="00C440F8" w14:paraId="33FC83F0"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EC4AB40" w14:textId="77777777" w:rsidR="00C440F8"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9EA6C92" w14:textId="77777777" w:rsidR="00C440F8"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541154" w14:textId="77777777" w:rsidR="00C440F8"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12999C3" w14:textId="77777777" w:rsidR="00C440F8" w:rsidRDefault="00000000">
            <w:pPr>
              <w:jc w:val="center"/>
            </w:pPr>
            <w:r>
              <w:rPr>
                <w:b/>
                <w:bCs/>
                <w:color w:val="FFFFFF"/>
                <w:sz w:val="18"/>
                <w:szCs w:val="18"/>
              </w:rPr>
              <w:t>Observación</w:t>
            </w:r>
          </w:p>
        </w:tc>
      </w:tr>
      <w:tr w:rsidR="00C440F8" w14:paraId="3A859ACA"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E6D92" w14:textId="77777777" w:rsidR="00C440F8"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9E6826" w14:textId="77777777" w:rsidR="00C440F8"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60E3D76" w14:textId="77777777" w:rsidR="00C440F8"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B58D8E5" w14:textId="77777777" w:rsidR="00C440F8" w:rsidRDefault="00000000">
            <w:r>
              <w:rPr>
                <w:color w:val="111111"/>
                <w:sz w:val="18"/>
                <w:szCs w:val="18"/>
              </w:rPr>
              <w:t>Línea de base — estudio de una sola noche (esquema diagnóstico habitual)</w:t>
            </w:r>
          </w:p>
        </w:tc>
      </w:tr>
      <w:tr w:rsidR="00C440F8" w14:paraId="6A4D03B3"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9009CE" w14:textId="77777777" w:rsidR="00C440F8"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AD4F62E" w14:textId="77777777" w:rsidR="00C440F8"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6F53474" w14:textId="77777777" w:rsidR="00C440F8"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7EA15A3" w14:textId="77777777" w:rsidR="00C440F8" w:rsidRDefault="00000000">
            <w:r>
              <w:rPr>
                <w:color w:val="111111"/>
                <w:sz w:val="18"/>
                <w:szCs w:val="18"/>
              </w:rPr>
              <w:t>Mejora sustancial con agregación mínima</w:t>
            </w:r>
          </w:p>
        </w:tc>
      </w:tr>
      <w:tr w:rsidR="00C440F8" w14:paraId="63E66250"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793E30A" w14:textId="77777777" w:rsidR="00C440F8"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F79B785" w14:textId="77777777" w:rsidR="00C440F8"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824EB2" w14:textId="77777777" w:rsidR="00C440F8"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11D35D" w14:textId="77777777" w:rsidR="00C440F8" w:rsidRDefault="00000000">
            <w:r>
              <w:rPr>
                <w:color w:val="111111"/>
                <w:sz w:val="18"/>
                <w:szCs w:val="18"/>
              </w:rPr>
              <w:t>Zona de estabilización para la mayoría de los pacientes</w:t>
            </w:r>
          </w:p>
        </w:tc>
      </w:tr>
      <w:tr w:rsidR="00C440F8" w14:paraId="3CDBCE00"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567480" w14:textId="77777777" w:rsidR="00C440F8"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7C01962" w14:textId="77777777" w:rsidR="00C440F8"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F9A9800" w14:textId="77777777" w:rsidR="00C440F8"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C5F1D8" w14:textId="77777777" w:rsidR="00C440F8" w:rsidRDefault="00000000">
            <w:r>
              <w:rPr>
                <w:color w:val="111111"/>
                <w:sz w:val="18"/>
                <w:szCs w:val="18"/>
              </w:rPr>
              <w:t>Estimación de referencia — equivalente a PSG repetida</w:t>
            </w:r>
          </w:p>
        </w:tc>
      </w:tr>
    </w:tbl>
    <w:p w14:paraId="577AAA5E" w14:textId="77777777" w:rsidR="00C440F8"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estimado equivalente a PSG repetida para el ODI3.</w:t>
      </w:r>
    </w:p>
    <w:p w14:paraId="17E6C639" w14:textId="77777777" w:rsidR="00C440F8" w:rsidRDefault="00C440F8">
      <w:pPr>
        <w:spacing w:after="80"/>
      </w:pPr>
    </w:p>
    <w:p w14:paraId="0B4F25AB" w14:textId="77777777" w:rsidR="00C440F8" w:rsidRDefault="00C440F8">
      <w:pPr>
        <w:spacing w:after="60"/>
      </w:pPr>
    </w:p>
    <w:p w14:paraId="7664C3FF" w14:textId="77777777" w:rsidR="00C440F8" w:rsidRDefault="00000000">
      <w:pPr>
        <w:spacing w:before="60" w:after="40"/>
        <w:jc w:val="center"/>
      </w:pPr>
      <w:r>
        <w:rPr>
          <w:b/>
          <w:bCs/>
          <w:color w:val="333333"/>
          <w:sz w:val="18"/>
          <w:szCs w:val="18"/>
        </w:rPr>
        <w:t>Figura 4.6. Estabilización del ODI3 con el número de noches promediadas (simulación bootstrap, N = 10 pacientes con ≥ 5 noches).</w:t>
      </w:r>
    </w:p>
    <w:p w14:paraId="12BFF44B" w14:textId="77777777" w:rsidR="00C440F8" w:rsidRDefault="00000000">
      <w:pPr>
        <w:spacing w:before="80" w:after="40"/>
        <w:jc w:val="center"/>
      </w:pPr>
      <w:r>
        <w:rPr>
          <w:noProof/>
        </w:rPr>
        <w:drawing>
          <wp:inline distT="0" distB="0" distL="0" distR="0" wp14:anchorId="0D4AB9D2" wp14:editId="06C765B7">
            <wp:extent cx="4191000" cy="1495425"/>
            <wp:effectExtent l="0" t="0" r="0" b="0"/>
            <wp:docPr id="1386553544" name="Imagen 1386553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495425"/>
                    </a:xfrm>
                    <a:prstGeom prst="rect">
                      <a:avLst/>
                    </a:prstGeom>
                  </pic:spPr>
                </pic:pic>
              </a:graphicData>
            </a:graphic>
          </wp:inline>
        </w:drawing>
      </w:r>
    </w:p>
    <w:p w14:paraId="690B8EE0" w14:textId="77777777" w:rsidR="00C440F8" w:rsidRDefault="00000000">
      <w:pPr>
        <w:spacing w:before="20" w:after="200"/>
        <w:jc w:val="center"/>
      </w:pPr>
      <w:r>
        <w:rPr>
          <w:i/>
          <w:iCs/>
          <w:color w:val="555555"/>
          <w:sz w:val="16"/>
          <w:szCs w:val="16"/>
        </w:rPr>
        <w:t>Nota. (A) Error absoluto medio (MAE, ev/h) del ODI3 vs número de noches promediadas; banda sombreada: IQR bootstrap. Línea punteada roja: umbral operacional MAE = 2 ev/h, alcanzado aproximadamente a partir de 4 noches. (B) ICC(1,1) vs número de noches; los valores crecen desde 0,70 (1 noche) hasta 0,98 (14 noches). Ambos ejes X representan noches acumuladas promediadas.</w:t>
      </w:r>
    </w:p>
    <w:p w14:paraId="7B7518F7" w14:textId="77777777" w:rsidR="00C440F8" w:rsidRDefault="00C440F8">
      <w:pPr>
        <w:spacing w:after="60"/>
      </w:pPr>
    </w:p>
    <w:p w14:paraId="564BA3A8" w14:textId="77777777" w:rsidR="00C440F8" w:rsidRDefault="00000000">
      <w:pPr>
        <w:pStyle w:val="Ttulo3"/>
      </w:pPr>
      <w:r>
        <w:lastRenderedPageBreak/>
        <w:t>4.5.2  Reproducibilidad del ARI</w:t>
      </w:r>
    </w:p>
    <w:p w14:paraId="2ED23B79" w14:textId="77777777" w:rsidR="00C440F8"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que podría capturarse con pocas noches de monitoreo.</w:t>
      </w:r>
    </w:p>
    <w:p w14:paraId="524069D2" w14:textId="77777777" w:rsidR="00C440F8" w:rsidRDefault="00000000">
      <w:pPr>
        <w:spacing w:after="160" w:line="276" w:lineRule="auto"/>
        <w:jc w:val="both"/>
      </w:pPr>
      <w:r>
        <w:t xml:space="preserve">La Tabla 4.7 también permite observar que la mejora de ICC entre cohorte completa y estricta fue más pronunciada en el </w:t>
      </w:r>
      <w:r>
        <w:rPr>
          <w:i/>
          <w:iCs/>
        </w:rPr>
        <w:t>Hypoxic Burden</w:t>
      </w:r>
      <w:r>
        <w:t xml:space="preserve"> (Δ ICC = +0,25) que en el ODI3 (Δ ICC = +0,02), lo que sugiere que el HB₃ es más sensible a la irregularidad de los pacientes con pocas noches. Para el ARI, la mejora fue modesta (Δ ICC = +0,05), consistente con su mayor estabilidad intrínseca.</w:t>
      </w:r>
    </w:p>
    <w:p w14:paraId="0C288777" w14:textId="77777777" w:rsidR="00C440F8" w:rsidRDefault="00C440F8">
      <w:pPr>
        <w:spacing w:after="80"/>
      </w:pPr>
    </w:p>
    <w:p w14:paraId="09E1A279" w14:textId="77777777" w:rsidR="00C440F8" w:rsidRDefault="00C440F8">
      <w:pPr>
        <w:spacing w:after="60"/>
      </w:pPr>
    </w:p>
    <w:p w14:paraId="30229EF3" w14:textId="77777777" w:rsidR="00C440F8" w:rsidRDefault="00000000">
      <w:pPr>
        <w:spacing w:before="60" w:after="40"/>
        <w:jc w:val="center"/>
      </w:pPr>
      <w:r>
        <w:rPr>
          <w:b/>
          <w:bCs/>
          <w:color w:val="333333"/>
          <w:sz w:val="18"/>
          <w:szCs w:val="18"/>
        </w:rPr>
        <w:t>Figura 4.7. Validación multi-noche del ARI: MAE bootstrap y análisis de concordancia Bland-Altman.</w:t>
      </w:r>
    </w:p>
    <w:p w14:paraId="3B38A373" w14:textId="77777777" w:rsidR="00C440F8" w:rsidRDefault="00000000">
      <w:pPr>
        <w:spacing w:before="80" w:after="40"/>
        <w:jc w:val="center"/>
      </w:pPr>
      <w:r>
        <w:rPr>
          <w:noProof/>
        </w:rPr>
        <w:drawing>
          <wp:inline distT="0" distB="0" distL="0" distR="0" wp14:anchorId="2A95C857" wp14:editId="4F33878C">
            <wp:extent cx="4191000" cy="1495425"/>
            <wp:effectExtent l="0" t="0" r="0" b="0"/>
            <wp:docPr id="1572093067" name="Imagen 157209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495425"/>
                    </a:xfrm>
                    <a:prstGeom prst="rect">
                      <a:avLst/>
                    </a:prstGeom>
                  </pic:spPr>
                </pic:pic>
              </a:graphicData>
            </a:graphic>
          </wp:inline>
        </w:drawing>
      </w:r>
    </w:p>
    <w:p w14:paraId="06E33E16" w14:textId="77777777" w:rsidR="00C440F8" w:rsidRDefault="00000000">
      <w:pPr>
        <w:spacing w:before="20" w:after="200"/>
        <w:jc w:val="center"/>
      </w:pPr>
      <w:r>
        <w:rPr>
          <w:i/>
          <w:iCs/>
          <w:color w:val="555555"/>
          <w:sz w:val="16"/>
          <w:szCs w:val="16"/>
        </w:rPr>
        <w:t>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14:paraId="56D17429" w14:textId="77777777" w:rsidR="00C440F8" w:rsidRDefault="00C440F8">
      <w:pPr>
        <w:spacing w:after="80"/>
      </w:pPr>
    </w:p>
    <w:p w14:paraId="3C621C24" w14:textId="77777777" w:rsidR="00C440F8" w:rsidRDefault="00000000">
      <w:pPr>
        <w:pStyle w:val="Ttulo2"/>
      </w:pPr>
      <w:r>
        <w:t>4.6  Síntesis</w:t>
      </w:r>
    </w:p>
    <w:p w14:paraId="1ADE635A" w14:textId="77777777" w:rsidR="00C440F8"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6096381A" w14:textId="77777777" w:rsidR="00C440F8" w:rsidRDefault="00000000">
      <w:pPr>
        <w:spacing w:after="160" w:line="276" w:lineRule="auto"/>
        <w:jc w:val="both"/>
      </w:pPr>
      <w:r>
        <w:t xml:space="preserve">El ARI aportó una segunda dimensión de caracterización, prácticamente no correlacionada con el ODI3 en esta cohorte (ρ = 0,034).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Finalmente, la validación multi-noche mostró que la agregación de registros domiciliarios mejora sustancialmente la fiabilidad de las métricas, y que el protocolo de este proyecto (medianas de 55–116 noches </w:t>
      </w:r>
      <w:r>
        <w:lastRenderedPageBreak/>
        <w:t>por paciente en la cohorte estricta) proporciona una base longitudinal considerablemente más rica que el estudio de sueño de una sola noche. Estos hallazgos deben interpretarse como exploratorios dado el tamaño reducido de la cohorte de pacientes; no obstante, se apoyan en una alta densidad longitudinal de noches y eventos que otorga solidez estadística al nivel de evento y noche.</w:t>
      </w:r>
    </w:p>
    <w:p w14:paraId="7DF3376D" w14:textId="77777777" w:rsidR="00C440F8" w:rsidRDefault="00C440F8">
      <w:pPr>
        <w:spacing w:after="80"/>
      </w:pPr>
    </w:p>
    <w:p w14:paraId="76A245B5" w14:textId="77777777" w:rsidR="00C440F8" w:rsidRDefault="00000000">
      <w:r>
        <w:br w:type="page"/>
      </w:r>
    </w:p>
    <w:p w14:paraId="4A592D5C" w14:textId="77777777" w:rsidR="00C440F8" w:rsidRDefault="00000000">
      <w:pPr>
        <w:pStyle w:val="Ttulo2"/>
      </w:pPr>
      <w:r>
        <w:lastRenderedPageBreak/>
        <w:t>Referencias</w:t>
      </w:r>
    </w:p>
    <w:p w14:paraId="5A2DFEF5" w14:textId="77777777" w:rsidR="00C440F8" w:rsidRDefault="00000000">
      <w:pPr>
        <w:spacing w:after="160" w:line="276" w:lineRule="auto"/>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319AE35B" w14:textId="77777777" w:rsidR="00C440F8" w:rsidRDefault="00000000">
      <w:pPr>
        <w:spacing w:after="160" w:line="276" w:lineRule="auto"/>
        <w:jc w:val="both"/>
      </w:pPr>
      <w:r>
        <w:t xml:space="preserve">Berry, R. B., Budhiraja, R., Gottlieb, D. J., Gozal, D., Iber, C., Kapur, V. K., ... &amp; Tangredi, M. M. (2012). Rules for scoring respiratory events in sleep: Update of the 2007 AASM manual for the scoring of sleep and associated events. </w:t>
      </w:r>
      <w:r>
        <w:rPr>
          <w:i/>
          <w:iCs/>
        </w:rPr>
        <w:t>Journal of Clinical Sleep Medicine</w:t>
      </w:r>
      <w:r>
        <w:t>, 8(5), 597–619. https://doi.org/10.5664/jcsm.2172</w:t>
      </w:r>
    </w:p>
    <w:p w14:paraId="1E10F88C" w14:textId="77777777" w:rsidR="00C440F8" w:rsidRDefault="00000000">
      <w:pPr>
        <w:spacing w:after="160" w:line="276" w:lineRule="auto"/>
        <w:jc w:val="both"/>
      </w:pPr>
      <w:r>
        <w:t xml:space="preserve">Bittencourt, L. R. A., Suchecki, D., Tufik, S., Peres, C., Togeiro, S. M., Bagnato, M. C., &amp; Nery, L. E. (2001). The variability of the apnoea–hypopnoea index. </w:t>
      </w:r>
      <w:r>
        <w:rPr>
          <w:i/>
          <w:iCs/>
        </w:rPr>
        <w:t>Journal of Sleep Research</w:t>
      </w:r>
      <w:r>
        <w:t>, 10(3), 245–251. https://doi.org/10.1046/j.1365-2869.2001.00255.x</w:t>
      </w:r>
    </w:p>
    <w:p w14:paraId="0C1BC836" w14:textId="77777777" w:rsidR="00C440F8" w:rsidRDefault="00000000">
      <w:pPr>
        <w:spacing w:after="160" w:line="276" w:lineRule="auto"/>
        <w:jc w:val="both"/>
      </w:pPr>
      <w:r>
        <w:t xml:space="preserve">Koo, T. K., &amp; Li, M. Y. (2016). A guideline of selecting and reporting intraclass correlation coefficients for reliability research. </w:t>
      </w:r>
      <w:r>
        <w:rPr>
          <w:i/>
          <w:iCs/>
        </w:rPr>
        <w:t>Journal of Chiropractic Medicine</w:t>
      </w:r>
      <w:r>
        <w:t>, 15(2), 155–163. https://doi.org/10.1016/j.jcm.2016.02.012</w:t>
      </w:r>
    </w:p>
    <w:p w14:paraId="20DC7FAF" w14:textId="77777777" w:rsidR="00C440F8" w:rsidRDefault="00000000">
      <w:pPr>
        <w:spacing w:after="160" w:line="276" w:lineRule="auto"/>
        <w:jc w:val="both"/>
      </w:pPr>
      <w:r>
        <w:t xml:space="preserve">Levendowski, D. J., Zack, N., Rao, S., Wong, K., Gendreau, M., Kranzler, J., ... &amp; Westbrook, P. R. (2009). Assessment of the test–retest reliability of laboratory polysomnography. </w:t>
      </w:r>
      <w:r>
        <w:rPr>
          <w:i/>
          <w:iCs/>
        </w:rPr>
        <w:t>Sleep &amp; Breathing</w:t>
      </w:r>
      <w:r>
        <w:t>, 13(2), 163–167. https://doi.org/10.1007/s11325-008-0214-6</w:t>
      </w:r>
    </w:p>
    <w:p w14:paraId="461B1BAA" w14:textId="77777777" w:rsidR="00C440F8" w:rsidRDefault="00000000">
      <w:pPr>
        <w:spacing w:after="160" w:line="276" w:lineRule="auto"/>
        <w:jc w:val="both"/>
      </w:pPr>
      <w:r>
        <w:t xml:space="preserve">Narkiewicz, K., &amp; Somers, V. K. (2003). Sympathetic nerve activity in obstructive sleep apnoea. </w:t>
      </w:r>
      <w:r>
        <w:rPr>
          <w:i/>
          <w:iCs/>
        </w:rPr>
        <w:t>Acta Physiologica Scandinavica</w:t>
      </w:r>
      <w:r>
        <w:t>, 177(3), 385–390. https://doi.org/10.1046/j.1365-201X.2003.01091.x</w:t>
      </w:r>
    </w:p>
    <w:p w14:paraId="1901205A" w14:textId="77777777" w:rsidR="00C440F8" w:rsidRDefault="00000000">
      <w:pPr>
        <w:spacing w:after="160" w:line="276" w:lineRule="auto"/>
        <w:jc w:val="both"/>
      </w:pPr>
      <w:r>
        <w:t xml:space="preserve">Oliven, A., Tov, N., Brandspiegel, S., Steinfeld, U., &amp; Schwartz, A. R. (2020). Clustering of apneas in obstructive sleep apnea: significance and clinical relevance. </w:t>
      </w:r>
      <w:r>
        <w:rPr>
          <w:i/>
          <w:iCs/>
        </w:rPr>
        <w:t>Sleep</w:t>
      </w:r>
      <w:r>
        <w:t>, 43(9), zsaa046. https://doi.org/10.1093/sleep/zsaa046</w:t>
      </w:r>
    </w:p>
    <w:p w14:paraId="5B42DD22" w14:textId="77777777" w:rsidR="00C440F8" w:rsidRDefault="00000000">
      <w:pPr>
        <w:spacing w:after="160" w:line="276" w:lineRule="auto"/>
        <w:jc w:val="both"/>
      </w:pPr>
      <w:r>
        <w:t xml:space="preserve">Prabhakar, N. R. (2016). Carotid body chemoreflex: a driver of autonomic abnormalities in sleep apnoea. </w:t>
      </w:r>
      <w:r>
        <w:rPr>
          <w:i/>
          <w:iCs/>
        </w:rPr>
        <w:t>Experimental Physiology</w:t>
      </w:r>
      <w:r>
        <w:t>, 101(3), 394–399. https://doi.org/10.1113/EP085601</w:t>
      </w:r>
    </w:p>
    <w:p w14:paraId="2F2A4349" w14:textId="77777777" w:rsidR="00C440F8" w:rsidRDefault="00000000">
      <w:pPr>
        <w:spacing w:after="160" w:line="276" w:lineRule="auto"/>
        <w:jc w:val="both"/>
      </w:pPr>
      <w:r>
        <w:t xml:space="preserve">Rousseeuw, P. J. (1987). Silhouettes: a graphical aid to the interpretation and validation of cluster analysis. </w:t>
      </w:r>
      <w:r>
        <w:rPr>
          <w:i/>
          <w:iCs/>
        </w:rPr>
        <w:t>Journal of Computational and Applied Mathematics</w:t>
      </w:r>
      <w:r>
        <w:t>, 20, 53–65. https://doi.org/10.1016/0377-0427(87)90125-7</w:t>
      </w:r>
    </w:p>
    <w:p w14:paraId="03640A82" w14:textId="77777777" w:rsidR="00C440F8" w:rsidRDefault="00000000">
      <w:pPr>
        <w:spacing w:after="160" w:line="276" w:lineRule="auto"/>
        <w:jc w:val="both"/>
      </w:pPr>
      <w:r>
        <w:t xml:space="preserve">Wasserstein, R. L., &amp; Lazar, N. A. (2016). The ASA statement on </w:t>
      </w:r>
      <w:r>
        <w:rPr>
          <w:i/>
          <w:iCs/>
        </w:rPr>
        <w:t>p</w:t>
      </w:r>
      <w:r>
        <w:t xml:space="preserve">-values: context, process, and purpose. </w:t>
      </w:r>
      <w:r>
        <w:rPr>
          <w:i/>
          <w:iCs/>
        </w:rPr>
        <w:t>The American Statistician</w:t>
      </w:r>
      <w:r>
        <w:t>, 70(2), 129–133. https://doi.org/10.1080/00031305.2016.1154108</w:t>
      </w:r>
    </w:p>
    <w:p w14:paraId="2FF3DF8A" w14:textId="77777777" w:rsidR="00C440F8" w:rsidRDefault="00000000">
      <w:pPr>
        <w:spacing w:after="160" w:line="276" w:lineRule="auto"/>
        <w:jc w:val="both"/>
      </w:pPr>
      <w:r>
        <w:t xml:space="preserve">Xie, J., Sert Kuniyoshi, F. H., Covassin, N., De Godoy, M. F., &amp; Somers, V. K. (2016). Excessive daytime sleepiness independently predicts increased cardiovascular risk after myocardial infarction. </w:t>
      </w:r>
      <w:r>
        <w:rPr>
          <w:i/>
          <w:iCs/>
        </w:rPr>
        <w:t>Journal of the American Heart Association</w:t>
      </w:r>
      <w:r>
        <w:t>, 5(3), e002913. https://doi.org/10.1161/JAHA.115.002913</w:t>
      </w:r>
    </w:p>
    <w:sectPr w:rsidR="00C440F8">
      <w:headerReference w:type="even" r:id="rId14"/>
      <w:headerReference w:type="default" r:id="rId15"/>
      <w:footerReference w:type="even" r:id="rId16"/>
      <w:footerReference w:type="default" r:id="rId17"/>
      <w:headerReference w:type="first" r:id="rId18"/>
      <w:footerReference w:type="first" r:id="rId19"/>
      <w:pgSz w:w="11906" w:h="16838"/>
      <w:pgMar w:top="1134" w:right="1134" w:bottom="1134"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D3DF0" w14:textId="77777777" w:rsidR="007F412C" w:rsidRDefault="007F412C">
      <w:r>
        <w:separator/>
      </w:r>
    </w:p>
  </w:endnote>
  <w:endnote w:type="continuationSeparator" w:id="0">
    <w:p w14:paraId="3A3200F9" w14:textId="77777777" w:rsidR="007F412C" w:rsidRDefault="007F4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B4176" w14:textId="77777777" w:rsidR="00DF38BD" w:rsidRDefault="00DF38B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25F0" w14:textId="77777777" w:rsidR="00DF38BD" w:rsidRDefault="00DF38BD" w:rsidP="00DF38BD">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0541E7F3" w14:textId="3C1092BD" w:rsidR="00C440F8" w:rsidRPr="00DF38BD" w:rsidRDefault="00C440F8" w:rsidP="00DF38B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B1991" w14:textId="77777777" w:rsidR="00DF38BD" w:rsidRDefault="00DF38B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DD93A" w14:textId="77777777" w:rsidR="007F412C" w:rsidRDefault="007F412C">
      <w:r>
        <w:separator/>
      </w:r>
    </w:p>
  </w:footnote>
  <w:footnote w:type="continuationSeparator" w:id="0">
    <w:p w14:paraId="6681C407" w14:textId="77777777" w:rsidR="007F412C" w:rsidRDefault="007F4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EDA6" w14:textId="77777777" w:rsidR="00DF38BD" w:rsidRDefault="00DF38B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7E26" w14:textId="6AB5D1C2" w:rsidR="00C440F8" w:rsidRDefault="00DF38BD" w:rsidP="00DF38BD">
    <w:pPr>
      <w:pBdr>
        <w:bottom w:val="single" w:sz="4" w:space="0" w:color="1E3A5F"/>
      </w:pBdr>
      <w:spacing w:after="120"/>
    </w:pPr>
    <w:r>
      <w:rPr>
        <w:color w:val="6B7280"/>
        <w:sz w:val="18"/>
        <w:szCs w:val="18"/>
      </w:rPr>
      <w:t>Proyecto APNEA · Tesis de Maestría</w:t>
    </w:r>
    <w:r>
      <w:rPr>
        <w:i/>
        <w:iCs/>
        <w:color w:val="6B7280"/>
        <w:sz w:val="18"/>
        <w:szCs w:val="18"/>
      </w:rPr>
      <w:t xml:space="preserve">        Capítulo </w:t>
    </w:r>
    <w:r>
      <w:rPr>
        <w:i/>
        <w:iCs/>
        <w:color w:val="6B7280"/>
        <w:sz w:val="18"/>
        <w:szCs w:val="18"/>
      </w:rPr>
      <w:t>4</w:t>
    </w:r>
    <w:r>
      <w:rPr>
        <w:i/>
        <w:iCs/>
        <w:color w:val="6B7280"/>
        <w:sz w:val="18"/>
        <w:szCs w:val="18"/>
      </w:rPr>
      <w:t xml:space="preserve"> — </w:t>
    </w:r>
    <w:r w:rsidRPr="00DF38BD">
      <w:rPr>
        <w:i/>
        <w:iCs/>
        <w:color w:val="888888"/>
        <w:sz w:val="16"/>
        <w:szCs w:val="16"/>
      </w:rPr>
      <w:t>Fenotipado Morfológico y ARI</w:t>
    </w:r>
    <w:r>
      <w:rPr>
        <w:i/>
        <w:iCs/>
        <w:color w:val="6B7280"/>
        <w:sz w:val="18"/>
        <w:szCs w:val="18"/>
      </w:rPr>
      <w:t xml:space="preserve">  (v</w:t>
    </w:r>
    <w:r>
      <w:rPr>
        <w:i/>
        <w:iCs/>
        <w:color w:val="6B7280"/>
        <w:sz w:val="18"/>
        <w:szCs w:val="18"/>
      </w:rPr>
      <w:t>4</w:t>
    </w:r>
    <w:r>
      <w:rPr>
        <w:i/>
        <w:iCs/>
        <w:color w:val="6B7280"/>
        <w:sz w:val="18"/>
        <w:szCs w:val="18"/>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55D8" w14:textId="77777777" w:rsidR="00DF38BD" w:rsidRDefault="00DF38B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94741"/>
    <w:multiLevelType w:val="hybridMultilevel"/>
    <w:tmpl w:val="BA920CEA"/>
    <w:lvl w:ilvl="0" w:tplc="B3542EA8">
      <w:start w:val="1"/>
      <w:numFmt w:val="bullet"/>
      <w:lvlText w:val="●"/>
      <w:lvlJc w:val="left"/>
      <w:pPr>
        <w:ind w:left="720" w:hanging="360"/>
      </w:pPr>
    </w:lvl>
    <w:lvl w:ilvl="1" w:tplc="713ED8FA">
      <w:start w:val="1"/>
      <w:numFmt w:val="bullet"/>
      <w:lvlText w:val="○"/>
      <w:lvlJc w:val="left"/>
      <w:pPr>
        <w:ind w:left="1440" w:hanging="360"/>
      </w:pPr>
    </w:lvl>
    <w:lvl w:ilvl="2" w:tplc="A2EEEE9A">
      <w:start w:val="1"/>
      <w:numFmt w:val="bullet"/>
      <w:lvlText w:val="■"/>
      <w:lvlJc w:val="left"/>
      <w:pPr>
        <w:ind w:left="2160" w:hanging="360"/>
      </w:pPr>
    </w:lvl>
    <w:lvl w:ilvl="3" w:tplc="15827F3E">
      <w:start w:val="1"/>
      <w:numFmt w:val="bullet"/>
      <w:lvlText w:val="●"/>
      <w:lvlJc w:val="left"/>
      <w:pPr>
        <w:ind w:left="2880" w:hanging="360"/>
      </w:pPr>
    </w:lvl>
    <w:lvl w:ilvl="4" w:tplc="087CBA94">
      <w:start w:val="1"/>
      <w:numFmt w:val="bullet"/>
      <w:lvlText w:val="○"/>
      <w:lvlJc w:val="left"/>
      <w:pPr>
        <w:ind w:left="3600" w:hanging="360"/>
      </w:pPr>
    </w:lvl>
    <w:lvl w:ilvl="5" w:tplc="405EC6F6">
      <w:start w:val="1"/>
      <w:numFmt w:val="bullet"/>
      <w:lvlText w:val="■"/>
      <w:lvlJc w:val="left"/>
      <w:pPr>
        <w:ind w:left="4320" w:hanging="360"/>
      </w:pPr>
    </w:lvl>
    <w:lvl w:ilvl="6" w:tplc="53FEB28A">
      <w:start w:val="1"/>
      <w:numFmt w:val="bullet"/>
      <w:lvlText w:val="●"/>
      <w:lvlJc w:val="left"/>
      <w:pPr>
        <w:ind w:left="5040" w:hanging="360"/>
      </w:pPr>
    </w:lvl>
    <w:lvl w:ilvl="7" w:tplc="DA709D1C">
      <w:start w:val="1"/>
      <w:numFmt w:val="bullet"/>
      <w:lvlText w:val="●"/>
      <w:lvlJc w:val="left"/>
      <w:pPr>
        <w:ind w:left="5760" w:hanging="360"/>
      </w:pPr>
    </w:lvl>
    <w:lvl w:ilvl="8" w:tplc="CCC654B2">
      <w:start w:val="1"/>
      <w:numFmt w:val="bullet"/>
      <w:lvlText w:val="●"/>
      <w:lvlJc w:val="left"/>
      <w:pPr>
        <w:ind w:left="6480" w:hanging="360"/>
      </w:pPr>
    </w:lvl>
  </w:abstractNum>
  <w:num w:numId="1" w16cid:durableId="830291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0F8"/>
    <w:rsid w:val="007F412C"/>
    <w:rsid w:val="008408F7"/>
    <w:rsid w:val="00854834"/>
    <w:rsid w:val="00C440F8"/>
    <w:rsid w:val="00DE13F9"/>
    <w:rsid w:val="00DF38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0B40F01"/>
  <w15:docId w15:val="{65E3F62D-91CB-2F46-AA6F-E1027222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80"/>
      <w:outlineLvl w:val="0"/>
    </w:pPr>
    <w:rPr>
      <w:b/>
      <w:bCs/>
      <w:color w:val="1E3A5F"/>
      <w:sz w:val="36"/>
      <w:szCs w:val="36"/>
    </w:rPr>
  </w:style>
  <w:style w:type="paragraph" w:styleId="Ttulo2">
    <w:name w:val="heading 2"/>
    <w:uiPriority w:val="9"/>
    <w:unhideWhenUsed/>
    <w:qFormat/>
    <w:pPr>
      <w:spacing w:before="300" w:after="160"/>
      <w:outlineLvl w:val="1"/>
    </w:pPr>
    <w:rPr>
      <w:b/>
      <w:bCs/>
      <w:color w:val="1E3A5F"/>
      <w:sz w:val="28"/>
      <w:szCs w:val="28"/>
    </w:rPr>
  </w:style>
  <w:style w:type="paragraph" w:styleId="Ttulo3">
    <w:name w:val="heading 3"/>
    <w:uiPriority w:val="9"/>
    <w:unhideWhenUsed/>
    <w:qFormat/>
    <w:pPr>
      <w:spacing w:before="220" w:after="100"/>
      <w:outlineLvl w:val="2"/>
    </w:pPr>
    <w:rPr>
      <w:b/>
      <w:bCs/>
      <w:color w:val="2C4E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F38BD"/>
    <w:pPr>
      <w:tabs>
        <w:tab w:val="center" w:pos="4419"/>
        <w:tab w:val="right" w:pos="8838"/>
      </w:tabs>
    </w:pPr>
  </w:style>
  <w:style w:type="character" w:customStyle="1" w:styleId="EncabezadoCar">
    <w:name w:val="Encabezado Car"/>
    <w:basedOn w:val="Fuentedeprrafopredeter"/>
    <w:link w:val="Encabezado"/>
    <w:uiPriority w:val="99"/>
    <w:rsid w:val="00DF38BD"/>
  </w:style>
  <w:style w:type="paragraph" w:styleId="Piedepgina">
    <w:name w:val="footer"/>
    <w:basedOn w:val="Normal"/>
    <w:link w:val="PiedepginaCar"/>
    <w:uiPriority w:val="99"/>
    <w:unhideWhenUsed/>
    <w:rsid w:val="00DF38BD"/>
    <w:pPr>
      <w:tabs>
        <w:tab w:val="center" w:pos="4419"/>
        <w:tab w:val="right" w:pos="8838"/>
      </w:tabs>
    </w:pPr>
  </w:style>
  <w:style w:type="character" w:customStyle="1" w:styleId="PiedepginaCar">
    <w:name w:val="Pie de página Car"/>
    <w:basedOn w:val="Fuentedeprrafopredeter"/>
    <w:link w:val="Piedepgina"/>
    <w:uiPriority w:val="99"/>
    <w:rsid w:val="00DF3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4226</Words>
  <Characters>26165</Characters>
  <Application>Microsoft Office Word</Application>
  <DocSecurity>0</DocSecurity>
  <Lines>670</Lines>
  <Paragraphs>243</Paragraphs>
  <ScaleCrop>false</ScaleCrop>
  <Company/>
  <LinksUpToDate>false</LinksUpToDate>
  <CharactersWithSpaces>30148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4</cp:revision>
  <dcterms:created xsi:type="dcterms:W3CDTF">2026-05-24T13:10:00Z</dcterms:created>
  <dcterms:modified xsi:type="dcterms:W3CDTF">2026-05-24T16:15:00Z</dcterms:modified>
</cp:coreProperties>
</file>