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CCCD" w14:textId="77777777" w:rsidR="0006455B" w:rsidRDefault="00000000">
      <w:pPr>
        <w:spacing w:after="40"/>
      </w:pPr>
      <w:r>
        <w:rPr>
          <w:b/>
          <w:bCs/>
          <w:color w:val="6B7280"/>
          <w:sz w:val="20"/>
          <w:szCs w:val="20"/>
        </w:rPr>
        <w:t>CAPÍTULO 4</w:t>
      </w:r>
    </w:p>
    <w:p w14:paraId="26619E47" w14:textId="77777777" w:rsidR="0006455B" w:rsidRDefault="00000000">
      <w:pPr>
        <w:spacing w:after="80"/>
      </w:pPr>
      <w:r>
        <w:rPr>
          <w:b/>
          <w:bCs/>
          <w:color w:val="1E3A5F"/>
          <w:sz w:val="36"/>
          <w:szCs w:val="36"/>
        </w:rPr>
        <w:t>Fenotipado Morfológico y Respuesta Autonómica de los Eventos de Desaturación</w:t>
      </w:r>
    </w:p>
    <w:p w14:paraId="0A01E06A" w14:textId="77777777" w:rsidR="0006455B" w:rsidRDefault="00000000">
      <w:pPr>
        <w:pBdr>
          <w:bottom w:val="single" w:sz="6" w:space="8" w:color="1E3A5F"/>
        </w:pBdr>
        <w:spacing w:after="400"/>
      </w:pPr>
      <w:r>
        <w:rPr>
          <w:color w:val="6B7280"/>
          <w:sz w:val="18"/>
          <w:szCs w:val="18"/>
        </w:rPr>
        <w:t>Versión 5  ·  Mayo 2026</w:t>
      </w:r>
    </w:p>
    <w:p w14:paraId="050AF517" w14:textId="77777777" w:rsidR="0006455B" w:rsidRDefault="00000000">
      <w:pPr>
        <w:spacing w:after="160" w:line="276" w:lineRule="auto"/>
        <w:jc w:val="both"/>
      </w:pPr>
      <w: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i/>
          <w:iCs/>
        </w:rPr>
        <w:t>K</w:t>
      </w:r>
      <w: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i/>
          <w:iCs/>
        </w:rPr>
        <w:t>features</w:t>
      </w:r>
      <w:r>
        <w:t xml:space="preserve"> nocturnas que se desarrolla en el Capítulo 5.</w:t>
      </w:r>
    </w:p>
    <w:p w14:paraId="106917C6" w14:textId="77777777" w:rsidR="0006455B" w:rsidRDefault="0006455B">
      <w:pPr>
        <w:spacing w:after="80"/>
      </w:pPr>
    </w:p>
    <w:p w14:paraId="2AC1C50C" w14:textId="77777777" w:rsidR="0006455B" w:rsidRDefault="00000000">
      <w:pPr>
        <w:pStyle w:val="Ttulo2"/>
        <w:spacing w:before="300"/>
      </w:pPr>
      <w:r>
        <w:t>4.1  Descripción del corpus de eventos</w:t>
      </w:r>
    </w:p>
    <w:p w14:paraId="66B12716" w14:textId="77777777" w:rsidR="0006455B"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5356D01" w14:textId="77777777" w:rsidR="0006455B" w:rsidRDefault="0006455B">
      <w:pPr>
        <w:spacing w:after="80"/>
      </w:pPr>
    </w:p>
    <w:p w14:paraId="5DA39C6C" w14:textId="77777777" w:rsidR="0006455B"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06455B" w14:paraId="230C7B18"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8B4CC00" w14:textId="77777777" w:rsidR="0006455B"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B0303FF" w14:textId="77777777" w:rsidR="0006455B"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DBD5256" w14:textId="77777777" w:rsidR="0006455B" w:rsidRDefault="00000000">
            <w:pPr>
              <w:jc w:val="center"/>
            </w:pPr>
            <w:r>
              <w:rPr>
                <w:b/>
                <w:bCs/>
                <w:color w:val="FFFFFF"/>
                <w:sz w:val="18"/>
                <w:szCs w:val="18"/>
              </w:rPr>
              <w:t>Descripción</w:t>
            </w:r>
          </w:p>
        </w:tc>
      </w:tr>
      <w:tr w:rsidR="0006455B" w14:paraId="08816ECF"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DB16FE" w14:textId="77777777" w:rsidR="0006455B"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0DEEDB" w14:textId="77777777" w:rsidR="0006455B"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912692" w14:textId="77777777" w:rsidR="0006455B" w:rsidRDefault="00000000">
            <w:r>
              <w:rPr>
                <w:color w:val="111111"/>
                <w:sz w:val="18"/>
                <w:szCs w:val="18"/>
              </w:rPr>
              <w:t>EDOs detectados por el algoritmo antes de cualquier filtro de calidad de señal</w:t>
            </w:r>
          </w:p>
        </w:tc>
      </w:tr>
      <w:tr w:rsidR="0006455B" w14:paraId="5222D0FA"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8849E6A" w14:textId="77777777" w:rsidR="0006455B"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2BE3095" w14:textId="77777777" w:rsidR="0006455B"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55AA96F" w14:textId="77777777" w:rsidR="0006455B" w:rsidRDefault="00000000">
            <w:r>
              <w:rPr>
                <w:color w:val="111111"/>
                <w:sz w:val="18"/>
                <w:szCs w:val="18"/>
              </w:rPr>
              <w:t>EDOs con señal SpO₂ y FC válida — usados para el ARI y correlaciones (§4.3)</w:t>
            </w:r>
          </w:p>
        </w:tc>
      </w:tr>
      <w:tr w:rsidR="0006455B" w14:paraId="49F05049"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B7F5DE" w14:textId="77777777" w:rsidR="0006455B" w:rsidRDefault="00000000">
            <w:r>
              <w:rPr>
                <w:color w:val="111111"/>
                <w:sz w:val="18"/>
                <w:szCs w:val="18"/>
              </w:rPr>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8600077" w14:textId="77777777" w:rsidR="0006455B"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FEC59F" w14:textId="77777777" w:rsidR="0006455B" w:rsidRDefault="00000000">
            <w:r>
              <w:rPr>
                <w:color w:val="111111"/>
                <w:sz w:val="18"/>
                <w:szCs w:val="18"/>
              </w:rPr>
              <w:t>Subconjunto de in_quality con curva de 30 puntos normalizable — base del clustering C1–C5 (§4.2)</w:t>
            </w:r>
          </w:p>
        </w:tc>
      </w:tr>
      <w:tr w:rsidR="0006455B" w14:paraId="567A3BB6"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344CD2C" w14:textId="77777777" w:rsidR="0006455B"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7FE3DB" w14:textId="77777777" w:rsidR="0006455B"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2551E5A" w14:textId="77777777" w:rsidR="0006455B" w:rsidRDefault="00000000">
            <w:r>
              <w:rPr>
                <w:color w:val="111111"/>
                <w:sz w:val="18"/>
                <w:szCs w:val="18"/>
              </w:rPr>
              <w:t>EDOs de 8 pacientes con ≥ 10 noches in_quality — usados en modelos predictivos (Capítulos 5–7)</w:t>
            </w:r>
          </w:p>
        </w:tc>
      </w:tr>
    </w:tbl>
    <w:p w14:paraId="2A5186DE" w14:textId="77777777" w:rsidR="0006455B"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14AFACA5" w14:textId="77777777" w:rsidR="0006455B" w:rsidRDefault="0006455B">
      <w:pPr>
        <w:spacing w:after="80"/>
      </w:pPr>
    </w:p>
    <w:p w14:paraId="327F000C" w14:textId="77777777" w:rsidR="0006455B"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w:t>
      </w:r>
      <w:r>
        <w:lastRenderedPageBreak/>
        <w:t xml:space="preserve">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4D31987C" w14:textId="77777777" w:rsidR="0006455B"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14:paraId="02B3BBDF" w14:textId="77777777" w:rsidR="0006455B" w:rsidRDefault="0006455B">
      <w:pPr>
        <w:spacing w:after="80"/>
      </w:pPr>
    </w:p>
    <w:p w14:paraId="443AFFED" w14:textId="77777777" w:rsidR="0006455B"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06455B" w14:paraId="5BB733A6"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678FD7F" w14:textId="77777777" w:rsidR="0006455B"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AA1A5D1" w14:textId="77777777" w:rsidR="0006455B"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662EAA3" w14:textId="77777777" w:rsidR="0006455B"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BD05365" w14:textId="77777777" w:rsidR="0006455B"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1C1DFD" w14:textId="77777777" w:rsidR="0006455B" w:rsidRDefault="00000000">
            <w:pPr>
              <w:jc w:val="center"/>
            </w:pPr>
            <w:r>
              <w:rPr>
                <w:b/>
                <w:bCs/>
                <w:color w:val="FFFFFF"/>
                <w:sz w:val="18"/>
                <w:szCs w:val="18"/>
              </w:rPr>
              <w:t>ODI3 medio ± DE</w:t>
            </w:r>
          </w:p>
        </w:tc>
      </w:tr>
      <w:tr w:rsidR="0006455B" w14:paraId="5EAE1340"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E453EC0" w14:textId="77777777" w:rsidR="0006455B"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184FE40" w14:textId="77777777" w:rsidR="0006455B"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1AC76C" w14:textId="77777777" w:rsidR="0006455B"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C6162D6" w14:textId="77777777" w:rsidR="0006455B"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19751A" w14:textId="77777777" w:rsidR="0006455B" w:rsidRDefault="00000000">
            <w:pPr>
              <w:jc w:val="center"/>
            </w:pPr>
            <w:r>
              <w:rPr>
                <w:color w:val="111111"/>
                <w:sz w:val="18"/>
                <w:szCs w:val="18"/>
              </w:rPr>
              <w:t>3,2 ± 1,1</w:t>
            </w:r>
          </w:p>
        </w:tc>
      </w:tr>
      <w:tr w:rsidR="0006455B" w14:paraId="1D4882A0"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7256FEA" w14:textId="77777777" w:rsidR="0006455B"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24352E7" w14:textId="77777777" w:rsidR="0006455B"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BD03B29" w14:textId="77777777" w:rsidR="0006455B"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7A8C87" w14:textId="77777777" w:rsidR="0006455B"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6E01D1" w14:textId="77777777" w:rsidR="0006455B" w:rsidRDefault="00000000">
            <w:pPr>
              <w:jc w:val="center"/>
            </w:pPr>
            <w:r>
              <w:rPr>
                <w:color w:val="111111"/>
                <w:sz w:val="18"/>
                <w:szCs w:val="18"/>
              </w:rPr>
              <w:t>9,8 ± 2,9</w:t>
            </w:r>
          </w:p>
        </w:tc>
      </w:tr>
      <w:tr w:rsidR="0006455B" w14:paraId="1863893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C7E37C" w14:textId="77777777" w:rsidR="0006455B"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C6EB7BA" w14:textId="77777777" w:rsidR="0006455B"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8B56CD" w14:textId="77777777" w:rsidR="0006455B"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28DED62" w14:textId="77777777" w:rsidR="0006455B"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D8ACA1" w14:textId="77777777" w:rsidR="0006455B" w:rsidRDefault="00000000">
            <w:pPr>
              <w:jc w:val="center"/>
            </w:pPr>
            <w:r>
              <w:rPr>
                <w:color w:val="111111"/>
                <w:sz w:val="18"/>
                <w:szCs w:val="18"/>
              </w:rPr>
              <w:t>21,3 ± 3,8</w:t>
            </w:r>
          </w:p>
        </w:tc>
      </w:tr>
      <w:tr w:rsidR="0006455B" w14:paraId="6FBEFD5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A599" w14:textId="77777777" w:rsidR="0006455B"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444B546" w14:textId="77777777" w:rsidR="0006455B"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AEB1E57" w14:textId="77777777" w:rsidR="0006455B"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8F7B643" w14:textId="77777777" w:rsidR="0006455B"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2180D33" w14:textId="77777777" w:rsidR="0006455B" w:rsidRDefault="00000000">
            <w:pPr>
              <w:jc w:val="center"/>
            </w:pPr>
            <w:r>
              <w:rPr>
                <w:color w:val="111111"/>
                <w:sz w:val="18"/>
                <w:szCs w:val="18"/>
              </w:rPr>
              <w:t>44,8 ± 11,2</w:t>
            </w:r>
          </w:p>
        </w:tc>
      </w:tr>
      <w:tr w:rsidR="0006455B" w14:paraId="69D927B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D0B06ED" w14:textId="77777777" w:rsidR="0006455B"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155B3B" w14:textId="77777777" w:rsidR="0006455B"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59DBEB" w14:textId="77777777" w:rsidR="0006455B"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56BF61" w14:textId="77777777" w:rsidR="0006455B"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F8D390" w14:textId="77777777" w:rsidR="0006455B" w:rsidRDefault="00000000">
            <w:pPr>
              <w:jc w:val="center"/>
            </w:pPr>
            <w:r>
              <w:rPr>
                <w:color w:val="111111"/>
                <w:sz w:val="18"/>
                <w:szCs w:val="18"/>
              </w:rPr>
              <w:t>17,9 ± 14,1</w:t>
            </w:r>
          </w:p>
        </w:tc>
      </w:tr>
    </w:tbl>
    <w:p w14:paraId="4AD62AC4" w14:textId="77777777" w:rsidR="0006455B" w:rsidRDefault="00000000">
      <w:pPr>
        <w:spacing w:before="60" w:after="200"/>
        <w:jc w:val="center"/>
      </w:pPr>
      <w:r>
        <w:rPr>
          <w:i/>
          <w:iCs/>
          <w:color w:val="444444"/>
          <w:sz w:val="18"/>
          <w:szCs w:val="18"/>
        </w:rPr>
        <w:t>Nota. DE = desviación estándar. ODI3: umbral de desaturación de 3 puntos porcentuales. N = 560 noches.</w:t>
      </w:r>
    </w:p>
    <w:p w14:paraId="15338862" w14:textId="77777777" w:rsidR="0006455B" w:rsidRDefault="0006455B">
      <w:pPr>
        <w:spacing w:after="80"/>
      </w:pPr>
    </w:p>
    <w:p w14:paraId="7503CFA5" w14:textId="77777777" w:rsidR="0006455B" w:rsidRDefault="00000000">
      <w:pPr>
        <w:pStyle w:val="Ttulo2"/>
        <w:spacing w:before="300"/>
      </w:pPr>
      <w:r>
        <w:t>4.2  Fenotipado morfológico de los EDOs (NB01)</w:t>
      </w:r>
    </w:p>
    <w:p w14:paraId="2E41E80D" w14:textId="77777777" w:rsidR="0006455B"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316FFEFC" w14:textId="77777777" w:rsidR="0006455B" w:rsidRDefault="00000000">
      <w:pPr>
        <w:pStyle w:val="Ttulo3"/>
      </w:pPr>
      <w:r>
        <w:t>4.2.1  Selección del número de grupos</w:t>
      </w:r>
    </w:p>
    <w:p w14:paraId="3095CF3B" w14:textId="77777777" w:rsidR="0006455B" w:rsidRDefault="00000000">
      <w:pPr>
        <w:spacing w:after="160" w:line="276" w:lineRule="auto"/>
        <w:jc w:val="both"/>
      </w:pPr>
      <w:r>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7E3BE16C" w14:textId="77777777" w:rsidR="0006455B" w:rsidRDefault="0006455B">
      <w:pPr>
        <w:spacing w:after="60"/>
      </w:pPr>
    </w:p>
    <w:p w14:paraId="5A43E804" w14:textId="77777777" w:rsidR="0006455B" w:rsidRDefault="00000000">
      <w:pPr>
        <w:spacing w:before="60" w:after="40"/>
        <w:jc w:val="center"/>
      </w:pPr>
      <w:r>
        <w:rPr>
          <w:b/>
          <w:bCs/>
          <w:color w:val="333333"/>
          <w:sz w:val="18"/>
          <w:szCs w:val="18"/>
        </w:rPr>
        <w:t>Figura 4.1. Análisis de componentes principales sobre curvas ΔSpO₂ normalizadas (N = 85.277 EDOs).</w:t>
      </w:r>
    </w:p>
    <w:p w14:paraId="7A28BDFD" w14:textId="77777777" w:rsidR="0006455B" w:rsidRDefault="00000000">
      <w:pPr>
        <w:spacing w:before="80" w:after="40"/>
        <w:jc w:val="center"/>
      </w:pPr>
      <w:r>
        <w:rPr>
          <w:noProof/>
        </w:rPr>
        <w:lastRenderedPageBreak/>
        <w:drawing>
          <wp:inline distT="0" distB="0" distL="0" distR="0" wp14:anchorId="3419BAAA" wp14:editId="5A1AEB11">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080D7944" w14:textId="77777777" w:rsidR="0006455B"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85.277 EDOs en el espacio PC1–PC2 (centro inferior) y PC1–PC3 (derecha inferior), coloreados por morfotipo de curva.</w:t>
      </w:r>
    </w:p>
    <w:p w14:paraId="07F1DDD4" w14:textId="77777777" w:rsidR="0006455B" w:rsidRDefault="0006455B">
      <w:pPr>
        <w:spacing w:after="60"/>
      </w:pPr>
    </w:p>
    <w:p w14:paraId="64D7C35D" w14:textId="77777777" w:rsidR="0006455B" w:rsidRDefault="00000000">
      <w:pPr>
        <w:spacing w:before="60" w:after="40"/>
        <w:jc w:val="center"/>
      </w:pPr>
      <w:r>
        <w:rPr>
          <w:b/>
          <w:bCs/>
          <w:color w:val="333333"/>
          <w:sz w:val="18"/>
          <w:szCs w:val="18"/>
        </w:rPr>
        <w:t>Figura 4.2. Selección de K = 5 morfotipos, distribución de EDOs y curvas SpO₂ medianas por cluster.</w:t>
      </w:r>
    </w:p>
    <w:p w14:paraId="446EAD36" w14:textId="77777777" w:rsidR="0006455B" w:rsidRDefault="00000000">
      <w:pPr>
        <w:spacing w:before="80" w:after="40"/>
        <w:jc w:val="center"/>
      </w:pPr>
      <w:r>
        <w:rPr>
          <w:noProof/>
        </w:rPr>
        <w:drawing>
          <wp:inline distT="0" distB="0" distL="0" distR="0" wp14:anchorId="55B8C6D0" wp14:editId="2CAFF906">
            <wp:extent cx="4191000" cy="3124200"/>
            <wp:effectExtent l="0" t="0" r="0" b="0"/>
            <wp:docPr id="506080438" name="Imagen 50608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64F7D611" w14:textId="77777777" w:rsidR="0006455B" w:rsidRDefault="00000000">
      <w:pPr>
        <w:spacing w:before="20" w:after="200"/>
        <w:jc w:val="center"/>
      </w:pPr>
      <w:r>
        <w:rPr>
          <w:i/>
          <w:iCs/>
          <w:color w:val="555555"/>
          <w:sz w:val="16"/>
          <w:szCs w:val="16"/>
        </w:rPr>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12DC4822" w14:textId="77777777" w:rsidR="0006455B" w:rsidRDefault="0006455B">
      <w:pPr>
        <w:spacing w:after="80"/>
      </w:pPr>
    </w:p>
    <w:p w14:paraId="27C800CB" w14:textId="77777777" w:rsidR="0006455B" w:rsidRDefault="00000000">
      <w:pPr>
        <w:pStyle w:val="Ttulo3"/>
      </w:pPr>
      <w:r>
        <w:t>4.2.2  Perfiles morfológicos de los cinco fenotipos</w:t>
      </w:r>
    </w:p>
    <w:p w14:paraId="3ED32751" w14:textId="77777777" w:rsidR="0006455B" w:rsidRDefault="00000000">
      <w:pPr>
        <w:spacing w:after="160" w:line="276" w:lineRule="auto"/>
        <w:jc w:val="both"/>
      </w:pPr>
      <w: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w:t>
      </w:r>
      <w:r>
        <w:lastRenderedPageBreak/>
        <w:t>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45981169" w14:textId="77777777" w:rsidR="0006455B" w:rsidRDefault="0006455B">
      <w:pPr>
        <w:spacing w:after="80"/>
      </w:pPr>
    </w:p>
    <w:p w14:paraId="75E0D1D1" w14:textId="77777777" w:rsidR="0006455B"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06455B" w14:paraId="49ABAEDA"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CDE359D" w14:textId="77777777" w:rsidR="0006455B"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3BB9717" w14:textId="77777777" w:rsidR="0006455B"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E9FF2AB" w14:textId="77777777" w:rsidR="0006455B"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92D757E" w14:textId="77777777" w:rsidR="0006455B"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0147C8" w14:textId="77777777" w:rsidR="0006455B"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C2B7171" w14:textId="77777777" w:rsidR="0006455B" w:rsidRDefault="00000000">
            <w:pPr>
              <w:jc w:val="center"/>
            </w:pPr>
            <w:r>
              <w:rPr>
                <w:b/>
                <w:bCs/>
                <w:color w:val="FFFFFF"/>
                <w:sz w:val="18"/>
                <w:szCs w:val="18"/>
              </w:rPr>
              <w:t>Perfil fisiológico</w:t>
            </w:r>
          </w:p>
        </w:tc>
      </w:tr>
      <w:tr w:rsidR="0006455B" w14:paraId="1F26080C"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A5FC0E1" w14:textId="77777777" w:rsidR="0006455B"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774FDB" w14:textId="77777777" w:rsidR="0006455B"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F4F69" w14:textId="77777777" w:rsidR="0006455B"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D65A97" w14:textId="77777777" w:rsidR="0006455B"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5E3ED4" w14:textId="77777777" w:rsidR="0006455B"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9D1B1D" w14:textId="77777777" w:rsidR="0006455B" w:rsidRDefault="00000000">
            <w:r>
              <w:rPr>
                <w:color w:val="111111"/>
                <w:sz w:val="18"/>
                <w:szCs w:val="18"/>
              </w:rPr>
              <w:t>Subcrítico — caída mínima, simétrica</w:t>
            </w:r>
          </w:p>
        </w:tc>
      </w:tr>
      <w:tr w:rsidR="0006455B" w14:paraId="4AEE1F71"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10F660A" w14:textId="77777777" w:rsidR="0006455B"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6CA5185" w14:textId="77777777" w:rsidR="0006455B"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AA62485" w14:textId="77777777" w:rsidR="0006455B"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2D3EDEB" w14:textId="77777777" w:rsidR="0006455B"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75AFD8E" w14:textId="77777777" w:rsidR="0006455B"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BDF85F" w14:textId="77777777" w:rsidR="0006455B" w:rsidRDefault="00000000">
            <w:r>
              <w:rPr>
                <w:color w:val="111111"/>
                <w:sz w:val="18"/>
                <w:szCs w:val="18"/>
              </w:rPr>
              <w:t>Leve-moderado — caída sostenida con recuperación completa</w:t>
            </w:r>
          </w:p>
        </w:tc>
      </w:tr>
      <w:tr w:rsidR="0006455B" w14:paraId="3D985517"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C38FE1B" w14:textId="77777777" w:rsidR="0006455B"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79134C" w14:textId="77777777" w:rsidR="0006455B"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E61B02" w14:textId="77777777" w:rsidR="0006455B"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A6F1BE" w14:textId="77777777" w:rsidR="0006455B"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4F3F2" w14:textId="77777777" w:rsidR="0006455B"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5F504D" w14:textId="77777777" w:rsidR="0006455B" w:rsidRDefault="00000000">
            <w:r>
              <w:rPr>
                <w:color w:val="111111"/>
                <w:sz w:val="18"/>
                <w:szCs w:val="18"/>
              </w:rPr>
              <w:t>Severo agudo — caída profunda rápida con recuperación abrupta</w:t>
            </w:r>
          </w:p>
        </w:tc>
      </w:tr>
      <w:tr w:rsidR="0006455B" w14:paraId="7413EB11"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053943" w14:textId="77777777" w:rsidR="0006455B"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727404" w14:textId="77777777" w:rsidR="0006455B"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D98B88" w14:textId="77777777" w:rsidR="0006455B"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4CA9E3A" w14:textId="77777777" w:rsidR="0006455B"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C24C4ED" w14:textId="77777777" w:rsidR="0006455B"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9A3983B" w14:textId="77777777" w:rsidR="0006455B" w:rsidRDefault="00000000">
            <w:r>
              <w:rPr>
                <w:color w:val="111111"/>
                <w:sz w:val="18"/>
                <w:szCs w:val="18"/>
              </w:rPr>
              <w:t>Severo escalonado — caída asimétrica, recuperación lenta</w:t>
            </w:r>
          </w:p>
        </w:tc>
      </w:tr>
      <w:tr w:rsidR="0006455B" w14:paraId="6707204D"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2DF100" w14:textId="77777777" w:rsidR="0006455B"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C835035" w14:textId="77777777" w:rsidR="0006455B"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4A8FED6" w14:textId="77777777" w:rsidR="0006455B"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451BB3" w14:textId="77777777" w:rsidR="0006455B"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449891" w14:textId="77777777" w:rsidR="0006455B"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29DB3CA" w14:textId="77777777" w:rsidR="0006455B" w:rsidRDefault="00000000">
            <w:r>
              <w:rPr>
                <w:color w:val="111111"/>
                <w:sz w:val="18"/>
                <w:szCs w:val="18"/>
              </w:rPr>
              <w:t>Progresivo crítico — caída máxima sin retorno a la línea de base</w:t>
            </w:r>
          </w:p>
        </w:tc>
      </w:tr>
    </w:tbl>
    <w:p w14:paraId="176F1499" w14:textId="77777777" w:rsidR="0006455B"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1B75F745" w14:textId="77777777" w:rsidR="0006455B" w:rsidRDefault="0006455B">
      <w:pPr>
        <w:spacing w:after="80"/>
      </w:pPr>
    </w:p>
    <w:p w14:paraId="179BC2B3" w14:textId="77777777" w:rsidR="0006455B" w:rsidRDefault="0006455B">
      <w:pPr>
        <w:spacing w:after="60"/>
      </w:pPr>
    </w:p>
    <w:p w14:paraId="4D88FC15" w14:textId="77777777" w:rsidR="0006455B" w:rsidRDefault="00000000">
      <w:pPr>
        <w:spacing w:before="60" w:after="40"/>
        <w:jc w:val="center"/>
      </w:pPr>
      <w:r>
        <w:rPr>
          <w:b/>
          <w:bCs/>
          <w:color w:val="333333"/>
          <w:sz w:val="18"/>
          <w:szCs w:val="18"/>
        </w:rPr>
        <w:t>Figura 4.3. Perfiles de frecuencia cardíaca (FC, fila A) y movimiento (MOV, fila B) por morfotipo C1–C5.</w:t>
      </w:r>
    </w:p>
    <w:p w14:paraId="1B3B8E2B" w14:textId="77777777" w:rsidR="0006455B" w:rsidRDefault="00000000">
      <w:pPr>
        <w:spacing w:before="80" w:after="40"/>
        <w:jc w:val="center"/>
      </w:pPr>
      <w:r>
        <w:rPr>
          <w:noProof/>
        </w:rPr>
        <w:drawing>
          <wp:inline distT="0" distB="0" distL="0" distR="0" wp14:anchorId="75F11E63" wp14:editId="3E27B98C">
            <wp:extent cx="4191000" cy="1657350"/>
            <wp:effectExtent l="0" t="0" r="0" b="0"/>
            <wp:docPr id="751762389" name="Imagen 75176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6C9C79C" w14:textId="77777777" w:rsidR="0006455B"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15FB8A29" w14:textId="77777777" w:rsidR="0006455B" w:rsidRDefault="0006455B">
      <w:pPr>
        <w:spacing w:after="80"/>
      </w:pPr>
    </w:p>
    <w:p w14:paraId="6DEFFC3E" w14:textId="77777777" w:rsidR="0006455B" w:rsidRDefault="00000000">
      <w:pPr>
        <w:pStyle w:val="Ttulo3"/>
      </w:pPr>
      <w:r>
        <w:t>4.2.3  Distribución de morfotipos y carga hipóxica acumulada</w:t>
      </w:r>
    </w:p>
    <w:p w14:paraId="2AACBCF4" w14:textId="77777777" w:rsidR="0006455B"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w:t>
      </w:r>
      <w:r>
        <w:lastRenderedPageBreak/>
        <w:t xml:space="preserve">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w:t>
      </w:r>
    </w:p>
    <w:p w14:paraId="3FD99BCE" w14:textId="77777777" w:rsidR="0006455B" w:rsidRDefault="00000000">
      <w:pPr>
        <w:pStyle w:val="Ttulo3"/>
      </w:pPr>
      <w:r>
        <w:t>4.2.4  Intervalo inter-evento</w:t>
      </w:r>
    </w:p>
    <w:p w14:paraId="1A3B0C66" w14:textId="77777777" w:rsidR="0006455B" w:rsidRDefault="00000000">
      <w:pPr>
        <w:spacing w:after="160" w:line="276" w:lineRule="auto"/>
        <w:jc w:val="both"/>
      </w:pPr>
      <w:r>
        <w:t>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14:paraId="6657615F" w14:textId="77777777" w:rsidR="0006455B" w:rsidRDefault="00000000">
      <w:pPr>
        <w:pStyle w:val="Ttulo3"/>
      </w:pPr>
      <w:r>
        <w:t>4.2.5  Correspondencia con morfotipos escalares (α–δ)</w:t>
      </w:r>
    </w:p>
    <w:p w14:paraId="413F5BD1" w14:textId="77777777" w:rsidR="0006455B"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60.878 eventos, careció de correspondencia morfológica limpia, lo que reforzó la decisión de priorizar los </w:t>
      </w:r>
      <w:r>
        <w:rPr>
          <w:i/>
          <w:iCs/>
        </w:rPr>
        <w:t>C-labels</w:t>
      </w:r>
      <w:r>
        <w:t xml:space="preserve"> como referencia para los análisis de severidad.</w:t>
      </w:r>
    </w:p>
    <w:p w14:paraId="36B246C1" w14:textId="77777777" w:rsidR="0006455B" w:rsidRDefault="0006455B">
      <w:pPr>
        <w:spacing w:after="80"/>
      </w:pPr>
    </w:p>
    <w:p w14:paraId="70512E2E" w14:textId="77777777" w:rsidR="0006455B"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522"/>
        <w:gridCol w:w="1304"/>
        <w:gridCol w:w="4318"/>
      </w:tblGrid>
      <w:tr w:rsidR="0006455B" w14:paraId="6958D831"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5659345" w14:textId="77777777" w:rsidR="0006455B" w:rsidRDefault="00000000">
            <w:pPr>
              <w:jc w:val="center"/>
            </w:pPr>
            <w:r>
              <w:rPr>
                <w:b/>
                <w:bCs/>
                <w:color w:val="FFFFFF"/>
                <w:sz w:val="18"/>
                <w:szCs w:val="18"/>
              </w:rPr>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4CFA1F2" w14:textId="77777777" w:rsidR="0006455B"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849FB3" w14:textId="77777777" w:rsidR="0006455B"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6EF6740" w14:textId="77777777" w:rsidR="0006455B" w:rsidRDefault="00000000">
            <w:pPr>
              <w:jc w:val="center"/>
            </w:pPr>
            <w:r>
              <w:rPr>
                <w:b/>
                <w:bCs/>
                <w:color w:val="FFFFFF"/>
                <w:sz w:val="18"/>
                <w:szCs w:val="18"/>
              </w:rPr>
              <w:t>Interpretación</w:t>
            </w:r>
          </w:p>
        </w:tc>
      </w:tr>
      <w:tr w:rsidR="0006455B" w14:paraId="601D0329"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6AB6C1" w14:textId="77777777" w:rsidR="0006455B"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F1D39E" w14:textId="77777777" w:rsidR="0006455B"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0503582" w14:textId="77777777" w:rsidR="0006455B"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217F4A" w14:textId="77777777" w:rsidR="0006455B" w:rsidRDefault="00000000">
            <w:r>
              <w:rPr>
                <w:color w:val="111111"/>
                <w:sz w:val="18"/>
                <w:szCs w:val="18"/>
              </w:rPr>
              <w:t>Corresponde casi en su totalidad al pool subcrítico mayoritario</w:t>
            </w:r>
          </w:p>
        </w:tc>
      </w:tr>
      <w:tr w:rsidR="0006455B" w14:paraId="133950F5"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40F2E76" w14:textId="77777777" w:rsidR="0006455B"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576344A" w14:textId="77777777" w:rsidR="0006455B"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2C0E968" w14:textId="77777777" w:rsidR="0006455B"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C6EB2F" w14:textId="77777777" w:rsidR="0006455B" w:rsidRDefault="00000000">
            <w:r>
              <w:rPr>
                <w:color w:val="111111"/>
                <w:sz w:val="18"/>
                <w:szCs w:val="18"/>
              </w:rPr>
              <w:t>EDOs leve-moderados con variabilidad de forma</w:t>
            </w:r>
          </w:p>
        </w:tc>
      </w:tr>
      <w:tr w:rsidR="0006455B" w14:paraId="72AF6CA3"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8E37A2F" w14:textId="77777777" w:rsidR="0006455B"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9D312DF" w14:textId="77777777" w:rsidR="0006455B"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187DEE2" w14:textId="77777777" w:rsidR="0006455B"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7E7731" w14:textId="77777777" w:rsidR="0006455B" w:rsidRDefault="00000000">
            <w:r>
              <w:rPr>
                <w:color w:val="111111"/>
                <w:sz w:val="18"/>
                <w:szCs w:val="18"/>
              </w:rPr>
              <w:t>Concentra los eventos más severos — mayor carga hipóxica acumulada</w:t>
            </w:r>
          </w:p>
        </w:tc>
      </w:tr>
      <w:tr w:rsidR="0006455B" w14:paraId="5903F8D5"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EE7A140" w14:textId="77777777" w:rsidR="0006455B"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721EDA4" w14:textId="77777777" w:rsidR="0006455B" w:rsidRDefault="00000000">
            <w:pPr>
              <w:jc w:val="center"/>
            </w:pPr>
            <w:r>
              <w:rPr>
                <w:color w:val="111111"/>
                <w:sz w:val="18"/>
                <w:szCs w:val="18"/>
              </w:rPr>
              <w:t>60.878</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BA67ACD" w14:textId="77777777" w:rsidR="0006455B"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CC1FC97" w14:textId="77777777" w:rsidR="0006455B" w:rsidRDefault="00000000">
            <w:r>
              <w:rPr>
                <w:color w:val="111111"/>
                <w:sz w:val="18"/>
                <w:szCs w:val="18"/>
              </w:rPr>
              <w:t>Pool heterogéneo sin correspondencia morfológica limpia</w:t>
            </w:r>
          </w:p>
        </w:tc>
      </w:tr>
    </w:tbl>
    <w:p w14:paraId="086DE444" w14:textId="77777777" w:rsidR="0006455B"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w:t>
      </w:r>
    </w:p>
    <w:p w14:paraId="7ADAB2DB" w14:textId="77777777" w:rsidR="0006455B" w:rsidRDefault="0006455B">
      <w:pPr>
        <w:spacing w:after="80"/>
      </w:pPr>
    </w:p>
    <w:p w14:paraId="330C7791" w14:textId="77777777" w:rsidR="0006455B" w:rsidRDefault="00000000">
      <w:pPr>
        <w:pStyle w:val="Ttulo3"/>
      </w:pPr>
      <w:r>
        <w:t>4.2.6  Estabilidad del fenotipado: ICC entre noches</w:t>
      </w:r>
    </w:p>
    <w:p w14:paraId="0053C0D5" w14:textId="77777777" w:rsidR="0006455B" w:rsidRDefault="00000000">
      <w:pPr>
        <w:spacing w:after="160" w:line="276" w:lineRule="auto"/>
        <w:jc w:val="both"/>
      </w:pPr>
      <w:r>
        <w:lastRenderedPageBreak/>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281965FA" w14:textId="77777777" w:rsidR="0006455B" w:rsidRDefault="0006455B">
      <w:pPr>
        <w:spacing w:after="80"/>
      </w:pPr>
    </w:p>
    <w:p w14:paraId="7169DCF1" w14:textId="77777777" w:rsidR="0006455B"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06455B" w14:paraId="247B1128"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4E0FD4" w14:textId="77777777" w:rsidR="0006455B"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EC1D850" w14:textId="77777777" w:rsidR="0006455B"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D94338E" w14:textId="77777777" w:rsidR="0006455B"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98A94CC" w14:textId="77777777" w:rsidR="0006455B" w:rsidRDefault="00000000">
            <w:pPr>
              <w:jc w:val="center"/>
            </w:pPr>
            <w:r>
              <w:rPr>
                <w:b/>
                <w:bCs/>
                <w:color w:val="FFFFFF"/>
                <w:sz w:val="18"/>
                <w:szCs w:val="18"/>
              </w:rPr>
              <w:t>Observación</w:t>
            </w:r>
          </w:p>
        </w:tc>
      </w:tr>
      <w:tr w:rsidR="0006455B" w14:paraId="289A626D"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04DE41B" w14:textId="77777777" w:rsidR="0006455B"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734989A" w14:textId="77777777" w:rsidR="0006455B"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7CF4002" w14:textId="77777777" w:rsidR="0006455B"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D7746E" w14:textId="77777777" w:rsidR="0006455B" w:rsidRDefault="00000000">
            <w:r>
              <w:rPr>
                <w:color w:val="111111"/>
                <w:sz w:val="18"/>
                <w:szCs w:val="18"/>
              </w:rPr>
              <w:t>Fracción nocturna reproducible — el morfotipo mayoritario</w:t>
            </w:r>
          </w:p>
        </w:tc>
      </w:tr>
      <w:tr w:rsidR="0006455B" w14:paraId="7F85B8FA"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5BEA77F" w14:textId="77777777" w:rsidR="0006455B"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2C79F2" w14:textId="77777777" w:rsidR="0006455B"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B4F0557" w14:textId="77777777" w:rsidR="0006455B"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18CBEF0" w14:textId="77777777" w:rsidR="0006455B" w:rsidRDefault="00000000">
            <w:r>
              <w:rPr>
                <w:color w:val="111111"/>
                <w:sz w:val="18"/>
                <w:szCs w:val="18"/>
              </w:rPr>
              <w:t>El morfotipo más estable; útil como referencia longitudinal</w:t>
            </w:r>
          </w:p>
        </w:tc>
      </w:tr>
      <w:tr w:rsidR="0006455B" w14:paraId="3F0CAD35"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8164D13" w14:textId="77777777" w:rsidR="0006455B"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97AE4B" w14:textId="77777777" w:rsidR="0006455B"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806254C" w14:textId="77777777" w:rsidR="0006455B"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ED1BB56" w14:textId="77777777" w:rsidR="0006455B" w:rsidRDefault="00000000">
            <w:r>
              <w:rPr>
                <w:color w:val="111111"/>
                <w:sz w:val="18"/>
                <w:szCs w:val="18"/>
              </w:rPr>
              <w:t>Alta variabilidad intra-paciente; eventos raros por noche</w:t>
            </w:r>
          </w:p>
        </w:tc>
      </w:tr>
      <w:tr w:rsidR="0006455B" w14:paraId="13BD7BFE"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45D915C" w14:textId="77777777" w:rsidR="0006455B"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49E5EB8" w14:textId="77777777" w:rsidR="0006455B"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AA4B30C" w14:textId="77777777" w:rsidR="0006455B"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75DD74" w14:textId="77777777" w:rsidR="0006455B" w:rsidRDefault="00000000">
            <w:r>
              <w:rPr>
                <w:color w:val="111111"/>
                <w:sz w:val="18"/>
                <w:szCs w:val="18"/>
              </w:rPr>
              <w:t>Algo más estable que C3 pese a menor prevalencia media</w:t>
            </w:r>
          </w:p>
        </w:tc>
      </w:tr>
      <w:tr w:rsidR="0006455B" w14:paraId="7F23089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74A725F" w14:textId="77777777" w:rsidR="0006455B"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E12A212" w14:textId="77777777" w:rsidR="0006455B"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BE0542C" w14:textId="77777777" w:rsidR="0006455B"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809E857" w14:textId="77777777" w:rsidR="0006455B" w:rsidRDefault="00000000">
            <w:r>
              <w:rPr>
                <w:color w:val="111111"/>
                <w:sz w:val="18"/>
                <w:szCs w:val="18"/>
              </w:rPr>
              <w:t>Clustering compacto compensa la escasez; el mayor ICC entre los severos</w:t>
            </w:r>
          </w:p>
        </w:tc>
      </w:tr>
    </w:tbl>
    <w:p w14:paraId="7E0DE238" w14:textId="77777777" w:rsidR="0006455B" w:rsidRDefault="00000000">
      <w:pPr>
        <w:spacing w:before="60" w:after="200"/>
        <w:jc w:val="center"/>
      </w:pPr>
      <w:r>
        <w:rPr>
          <w:i/>
          <w:iCs/>
          <w:color w:val="444444"/>
          <w:sz w:val="18"/>
          <w:szCs w:val="18"/>
        </w:rPr>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75AC7C4C" w14:textId="77777777" w:rsidR="0006455B" w:rsidRDefault="0006455B">
      <w:pPr>
        <w:spacing w:after="80"/>
      </w:pPr>
    </w:p>
    <w:p w14:paraId="7529567C" w14:textId="77777777" w:rsidR="0006455B" w:rsidRDefault="00000000">
      <w:pPr>
        <w:pStyle w:val="Ttulo2"/>
        <w:spacing w:before="300"/>
      </w:pPr>
      <w:r>
        <w:t>4.3  Diagnóstico del IRD y definición del ARI (NB02)</w:t>
      </w:r>
    </w:p>
    <w:p w14:paraId="4DE7BC05" w14:textId="77777777" w:rsidR="0006455B"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14:paraId="4E24F816" w14:textId="77777777" w:rsidR="0006455B" w:rsidRDefault="00000000">
      <w:pPr>
        <w:pStyle w:val="Ttulo3"/>
      </w:pPr>
      <w:r>
        <w:t>4.3.1  Bug de escala en el IRD original</w:t>
      </w:r>
    </w:p>
    <w:p w14:paraId="7B4E4FE3" w14:textId="77777777" w:rsidR="0006455B"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w:t>
      </w:r>
      <w:r>
        <w:lastRenderedPageBreak/>
        <w:t xml:space="preserve">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065BA6E3" w14:textId="77777777" w:rsidR="0006455B" w:rsidRDefault="0006455B">
      <w:pPr>
        <w:spacing w:after="80"/>
      </w:pPr>
    </w:p>
    <w:p w14:paraId="051E09D7" w14:textId="77777777" w:rsidR="0006455B"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06455B" w14:paraId="364DC504"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C6C397F" w14:textId="77777777" w:rsidR="0006455B"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EE6A66A" w14:textId="77777777" w:rsidR="0006455B"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8AEBED" w14:textId="77777777" w:rsidR="0006455B"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989BE84" w14:textId="77777777" w:rsidR="0006455B"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45E7226" w14:textId="77777777" w:rsidR="0006455B" w:rsidRDefault="00000000">
            <w:pPr>
              <w:jc w:val="center"/>
            </w:pPr>
            <w:r>
              <w:rPr>
                <w:b/>
                <w:bCs/>
                <w:color w:val="FFFFFF"/>
                <w:sz w:val="18"/>
                <w:szCs w:val="18"/>
              </w:rPr>
              <w:t>Peso nominal</w:t>
            </w:r>
          </w:p>
        </w:tc>
      </w:tr>
      <w:tr w:rsidR="0006455B" w14:paraId="526A5B02"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8C008B" w14:textId="77777777" w:rsidR="0006455B"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FDC962" w14:textId="77777777" w:rsidR="0006455B"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4239C3B" w14:textId="77777777" w:rsidR="0006455B"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52D3F01" w14:textId="77777777" w:rsidR="0006455B"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D6CC5A" w14:textId="77777777" w:rsidR="0006455B" w:rsidRDefault="00000000">
            <w:pPr>
              <w:jc w:val="center"/>
            </w:pPr>
            <w:r>
              <w:rPr>
                <w:color w:val="111111"/>
                <w:sz w:val="18"/>
                <w:szCs w:val="18"/>
              </w:rPr>
              <w:t>50 %</w:t>
            </w:r>
          </w:p>
        </w:tc>
      </w:tr>
      <w:tr w:rsidR="0006455B" w14:paraId="6CB8A356"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322C0C" w14:textId="77777777" w:rsidR="0006455B"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D0BDC7" w14:textId="77777777" w:rsidR="0006455B"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0D209B" w14:textId="77777777" w:rsidR="0006455B"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A8C5B0" w14:textId="77777777" w:rsidR="0006455B"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B494AE" w14:textId="77777777" w:rsidR="0006455B" w:rsidRDefault="00000000">
            <w:pPr>
              <w:jc w:val="center"/>
            </w:pPr>
            <w:r>
              <w:rPr>
                <w:color w:val="111111"/>
                <w:sz w:val="18"/>
                <w:szCs w:val="18"/>
              </w:rPr>
              <w:t>30 %</w:t>
            </w:r>
          </w:p>
        </w:tc>
      </w:tr>
      <w:tr w:rsidR="0006455B" w14:paraId="7AB45A0C"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5F0911" w14:textId="77777777" w:rsidR="0006455B"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EB772B" w14:textId="77777777" w:rsidR="0006455B"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47639E" w14:textId="77777777" w:rsidR="0006455B"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C5A1AE" w14:textId="77777777" w:rsidR="0006455B"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D85EAA" w14:textId="77777777" w:rsidR="0006455B" w:rsidRDefault="00000000">
            <w:pPr>
              <w:jc w:val="center"/>
            </w:pPr>
            <w:r>
              <w:rPr>
                <w:color w:val="111111"/>
                <w:sz w:val="18"/>
                <w:szCs w:val="18"/>
              </w:rPr>
              <w:t>20 %</w:t>
            </w:r>
          </w:p>
        </w:tc>
      </w:tr>
    </w:tbl>
    <w:p w14:paraId="73EF8AB2" w14:textId="77777777" w:rsidR="0006455B"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47A8D71C" w14:textId="77777777" w:rsidR="0006455B" w:rsidRDefault="0006455B">
      <w:pPr>
        <w:spacing w:after="80"/>
      </w:pPr>
    </w:p>
    <w:p w14:paraId="33511E2C" w14:textId="77777777" w:rsidR="0006455B" w:rsidRDefault="00000000">
      <w:pPr>
        <w:pStyle w:val="Ttulo3"/>
      </w:pPr>
      <w:r>
        <w:t>4.3.2  Propiedades empíricas del ARI</w:t>
      </w:r>
    </w:p>
    <w:p w14:paraId="49FF3F06" w14:textId="77777777" w:rsidR="0006455B" w:rsidRDefault="00000000">
      <w:pPr>
        <w:spacing w:after="160" w:line="276" w:lineRule="auto"/>
        <w:jc w:val="both"/>
      </w:pPr>
      <w:r>
        <w:t>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0219621" w14:textId="77777777" w:rsidR="0006455B" w:rsidRDefault="0006455B">
      <w:pPr>
        <w:spacing w:after="60"/>
      </w:pPr>
    </w:p>
    <w:p w14:paraId="03895EBC" w14:textId="77777777" w:rsidR="0006455B" w:rsidRDefault="00000000">
      <w:pPr>
        <w:spacing w:before="60" w:after="40"/>
        <w:jc w:val="center"/>
      </w:pPr>
      <w:r>
        <w:rPr>
          <w:b/>
          <w:bCs/>
          <w:color w:val="333333"/>
          <w:sz w:val="18"/>
          <w:szCs w:val="18"/>
        </w:rPr>
        <w:t>Figura 4.4. Distribución del ARI por morfotipo y relación con severidad morfológica.</w:t>
      </w:r>
    </w:p>
    <w:p w14:paraId="4804179B" w14:textId="77777777" w:rsidR="0006455B" w:rsidRDefault="00000000">
      <w:pPr>
        <w:spacing w:before="80" w:after="40"/>
        <w:jc w:val="center"/>
      </w:pPr>
      <w:r>
        <w:rPr>
          <w:noProof/>
        </w:rPr>
        <w:lastRenderedPageBreak/>
        <w:drawing>
          <wp:inline distT="0" distB="0" distL="0" distR="0" wp14:anchorId="1505F3D3" wp14:editId="20678F77">
            <wp:extent cx="4191000" cy="1743075"/>
            <wp:effectExtent l="0" t="0" r="0" b="0"/>
            <wp:docPr id="1734165305" name="Imagen 173416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00A6FD2" w14:textId="77777777" w:rsidR="0006455B"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B70B551" w14:textId="77777777" w:rsidR="0006455B" w:rsidRDefault="0006455B">
      <w:pPr>
        <w:spacing w:after="80"/>
      </w:pPr>
    </w:p>
    <w:p w14:paraId="7DE898B9" w14:textId="77777777" w:rsidR="0006455B" w:rsidRDefault="00000000">
      <w:pPr>
        <w:pStyle w:val="Ttulo3"/>
      </w:pPr>
      <w:r>
        <w:t>4.3.3  Perfil autonómico por morfotipo y el perfil autonómico inverso del C5</w:t>
      </w:r>
    </w:p>
    <w:p w14:paraId="5F37E92A" w14:textId="77777777" w:rsidR="0006455B"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14:paraId="7EF8E91D" w14:textId="77777777" w:rsidR="0006455B"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2E13FD37" w14:textId="77777777" w:rsidR="0006455B" w:rsidRDefault="0006455B">
      <w:pPr>
        <w:spacing w:after="80"/>
      </w:pPr>
    </w:p>
    <w:p w14:paraId="4FE5EE3D" w14:textId="77777777" w:rsidR="0006455B"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06455B" w14:paraId="62F396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2F16A09" w14:textId="77777777" w:rsidR="0006455B" w:rsidRDefault="00000000">
            <w:pPr>
              <w:jc w:val="center"/>
            </w:pPr>
            <w:r>
              <w:rPr>
                <w:b/>
                <w:bCs/>
                <w:color w:val="FFFFFF"/>
                <w:sz w:val="18"/>
                <w:szCs w:val="18"/>
              </w:rPr>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27DA6DF" w14:textId="77777777" w:rsidR="0006455B"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9779D6A" w14:textId="77777777" w:rsidR="0006455B"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DED4A2" w14:textId="77777777" w:rsidR="0006455B"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B901E9E" w14:textId="77777777" w:rsidR="0006455B" w:rsidRDefault="00000000">
            <w:pPr>
              <w:jc w:val="center"/>
            </w:pPr>
            <w:r>
              <w:rPr>
                <w:b/>
                <w:bCs/>
                <w:color w:val="FFFFFF"/>
                <w:sz w:val="18"/>
                <w:szCs w:val="18"/>
              </w:rPr>
              <w:t>Perfil autonómico</w:t>
            </w:r>
          </w:p>
        </w:tc>
      </w:tr>
      <w:tr w:rsidR="0006455B" w14:paraId="32065B10"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5DF87C7" w14:textId="77777777" w:rsidR="0006455B"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B68BA81" w14:textId="77777777" w:rsidR="0006455B"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BC7BF34" w14:textId="77777777" w:rsidR="0006455B"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8FF0DA7" w14:textId="77777777" w:rsidR="0006455B"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BB7864" w14:textId="77777777" w:rsidR="0006455B" w:rsidRDefault="00000000">
            <w:r>
              <w:rPr>
                <w:color w:val="111111"/>
                <w:sz w:val="18"/>
                <w:szCs w:val="18"/>
              </w:rPr>
              <w:t>Respuesta cardíaca relativamente conservada</w:t>
            </w:r>
          </w:p>
        </w:tc>
      </w:tr>
      <w:tr w:rsidR="0006455B" w14:paraId="2EA2530F"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E03A46" w14:textId="77777777" w:rsidR="0006455B"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285185" w14:textId="77777777" w:rsidR="0006455B"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CC16BC" w14:textId="77777777" w:rsidR="0006455B"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9105B5" w14:textId="77777777" w:rsidR="0006455B"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494E1AC" w14:textId="77777777" w:rsidR="0006455B" w:rsidRDefault="00000000">
            <w:r>
              <w:rPr>
                <w:color w:val="111111"/>
                <w:sz w:val="18"/>
                <w:szCs w:val="18"/>
              </w:rPr>
              <w:t>Respuesta ligeramente reducida — eventos de mayor duración</w:t>
            </w:r>
          </w:p>
        </w:tc>
      </w:tr>
      <w:tr w:rsidR="0006455B" w14:paraId="6785C030"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4593C8B" w14:textId="77777777" w:rsidR="0006455B"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E746F06" w14:textId="77777777" w:rsidR="0006455B"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D3FA72" w14:textId="77777777" w:rsidR="0006455B"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63BA2E9" w14:textId="77777777" w:rsidR="0006455B"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8E580AA" w14:textId="77777777" w:rsidR="0006455B" w:rsidRDefault="00000000">
            <w:r>
              <w:rPr>
                <w:color w:val="111111"/>
                <w:sz w:val="18"/>
                <w:szCs w:val="18"/>
              </w:rPr>
              <w:t>Respuesta atenuada relativa al estímulo — eventos severos agudos breves</w:t>
            </w:r>
          </w:p>
        </w:tc>
      </w:tr>
      <w:tr w:rsidR="0006455B" w14:paraId="584F9A2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12AE7C1" w14:textId="77777777" w:rsidR="0006455B"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6098352" w14:textId="77777777" w:rsidR="0006455B"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5FFC113" w14:textId="77777777" w:rsidR="0006455B"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9EB909" w14:textId="77777777" w:rsidR="0006455B"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2D84E1" w14:textId="77777777" w:rsidR="0006455B" w:rsidRDefault="00000000">
            <w:r>
              <w:rPr>
                <w:color w:val="111111"/>
                <w:sz w:val="18"/>
                <w:szCs w:val="18"/>
              </w:rPr>
              <w:t>Respuesta cardíaca proporcionalmente baja pese a caída severa</w:t>
            </w:r>
          </w:p>
        </w:tc>
      </w:tr>
      <w:tr w:rsidR="0006455B" w14:paraId="5D630772"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DACCE1" w14:textId="77777777" w:rsidR="0006455B" w:rsidRDefault="00000000">
            <w:r>
              <w:rPr>
                <w:color w:val="111111"/>
                <w:sz w:val="18"/>
                <w:szCs w:val="18"/>
              </w:rPr>
              <w:lastRenderedPageBreak/>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F27202" w14:textId="77777777" w:rsidR="0006455B"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40C9F41" w14:textId="77777777" w:rsidR="0006455B"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464E77" w14:textId="77777777" w:rsidR="0006455B"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3CFA82" w14:textId="77777777" w:rsidR="0006455B" w:rsidRDefault="00000000">
            <w:r>
              <w:rPr>
                <w:color w:val="111111"/>
                <w:sz w:val="18"/>
                <w:szCs w:val="18"/>
              </w:rPr>
              <w:t>Respuesta cardíaca prácticamente nula — compatible con atenuación autonómica; requiere validación externa</w:t>
            </w:r>
          </w:p>
        </w:tc>
      </w:tr>
    </w:tbl>
    <w:p w14:paraId="3B217F6C" w14:textId="77777777" w:rsidR="0006455B"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0F22385D" w14:textId="77777777" w:rsidR="0006455B" w:rsidRDefault="0006455B">
      <w:pPr>
        <w:spacing w:after="80"/>
      </w:pPr>
    </w:p>
    <w:p w14:paraId="2ED9115E" w14:textId="77777777" w:rsidR="0006455B" w:rsidRDefault="0006455B">
      <w:pPr>
        <w:spacing w:after="60"/>
      </w:pPr>
    </w:p>
    <w:p w14:paraId="587C04DC" w14:textId="77777777" w:rsidR="0006455B"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28D3513A" w14:textId="77777777" w:rsidR="0006455B" w:rsidRDefault="00000000">
      <w:pPr>
        <w:spacing w:before="80" w:after="40"/>
        <w:jc w:val="center"/>
      </w:pPr>
      <w:r>
        <w:rPr>
          <w:noProof/>
        </w:rPr>
        <w:drawing>
          <wp:inline distT="0" distB="0" distL="0" distR="0" wp14:anchorId="3FF78958" wp14:editId="165CC8E4">
            <wp:extent cx="4191000" cy="1276350"/>
            <wp:effectExtent l="0" t="0" r="0" b="0"/>
            <wp:docPr id="314811200" name="Imagen 31481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4DDFE7B9" w14:textId="77777777" w:rsidR="0006455B"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21C99341" w14:textId="77777777" w:rsidR="0006455B" w:rsidRDefault="00000000">
      <w:pPr>
        <w:spacing w:after="160" w:line="276" w:lineRule="auto"/>
        <w:jc w:val="both"/>
      </w:pPr>
      <w:r>
        <w:t xml:space="preserve">La Figura 4.5 ilustra el análisis </w:t>
      </w:r>
      <w:r>
        <w:rPr>
          <w:i/>
          <w:iCs/>
        </w:rPr>
        <w:t>within-stratum</w:t>
      </w:r>
      <w:r>
        <w:t>: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4D22DF6E" w14:textId="77777777" w:rsidR="0006455B" w:rsidRDefault="0006455B">
      <w:pPr>
        <w:spacing w:after="80"/>
      </w:pPr>
    </w:p>
    <w:p w14:paraId="4DE26F5A" w14:textId="77777777" w:rsidR="0006455B" w:rsidRDefault="00000000">
      <w:pPr>
        <w:pStyle w:val="Ttulo3"/>
      </w:pPr>
      <w:r>
        <w:t>4.3.4  Estabilidad inter-noche del ARI</w:t>
      </w:r>
    </w:p>
    <w:p w14:paraId="02D6BB39" w14:textId="77777777" w:rsidR="0006455B"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w:t>
      </w:r>
      <w:r>
        <w:lastRenderedPageBreak/>
        <w:t>podría indicar que requiere menos noches de acumulación para ser representativo del perfil del paciente.</w:t>
      </w:r>
    </w:p>
    <w:p w14:paraId="02D91FED" w14:textId="77777777" w:rsidR="0006455B" w:rsidRDefault="0006455B">
      <w:pPr>
        <w:spacing w:after="80"/>
      </w:pPr>
    </w:p>
    <w:p w14:paraId="5EAA6CA3" w14:textId="77777777" w:rsidR="0006455B" w:rsidRDefault="00000000">
      <w:pPr>
        <w:pStyle w:val="Ttulo2"/>
        <w:spacing w:before="300"/>
      </w:pPr>
      <w:r>
        <w:t>4.4  Síntesis de features nocturnas derivadas (NB03)</w:t>
      </w:r>
    </w:p>
    <w:p w14:paraId="4B169A20" w14:textId="77777777" w:rsidR="0006455B"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3D23ABEC" w14:textId="77777777" w:rsidR="0006455B" w:rsidRDefault="0006455B">
      <w:pPr>
        <w:spacing w:after="80"/>
      </w:pPr>
    </w:p>
    <w:p w14:paraId="1C873E99" w14:textId="77777777" w:rsidR="0006455B" w:rsidRDefault="00000000">
      <w:pPr>
        <w:pStyle w:val="Ttulo2"/>
        <w:spacing w:before="300"/>
      </w:pPr>
      <w:r>
        <w:t>4.5  Validación de reproducibilidad multi-noche</w:t>
      </w:r>
    </w:p>
    <w:p w14:paraId="0B794076" w14:textId="77777777" w:rsidR="0006455B" w:rsidRDefault="00000000">
      <w:pPr>
        <w:spacing w:after="160" w:line="276" w:lineRule="auto"/>
        <w:jc w:val="both"/>
      </w:pPr>
      <w: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i/>
          <w:iCs/>
        </w:rPr>
        <w:t>bootstrapping</w:t>
      </w:r>
      <w:r>
        <w:t xml:space="preserve"> (300 iteraciones por paciente) con ventanas acumulativas de 1 a 14 noches.</w:t>
      </w:r>
    </w:p>
    <w:p w14:paraId="45AAB048" w14:textId="77777777" w:rsidR="0006455B" w:rsidRDefault="00000000">
      <w:pPr>
        <w:pStyle w:val="Ttulo3"/>
      </w:pPr>
      <w:r>
        <w:t>4.5.1  Estabilización del ODI3 con el número de noches</w:t>
      </w:r>
    </w:p>
    <w:p w14:paraId="40398396" w14:textId="77777777" w:rsidR="0006455B"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7979EBA1" w14:textId="77777777" w:rsidR="0006455B" w:rsidRDefault="0006455B">
      <w:pPr>
        <w:spacing w:after="80"/>
      </w:pPr>
    </w:p>
    <w:p w14:paraId="55516D08" w14:textId="77777777" w:rsidR="0006455B" w:rsidRDefault="00000000">
      <w:pPr>
        <w:spacing w:before="80" w:after="80"/>
        <w:jc w:val="center"/>
      </w:pPr>
      <w:r>
        <w:rPr>
          <w:b/>
          <w:bCs/>
          <w:sz w:val="18"/>
          <w:szCs w:val="18"/>
        </w:rPr>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06455B" w14:paraId="5294EAF6"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FD0BB2D" w14:textId="77777777" w:rsidR="0006455B"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5A97D12" w14:textId="77777777" w:rsidR="0006455B"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2FFF93" w14:textId="77777777" w:rsidR="0006455B"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66C4A67" w14:textId="77777777" w:rsidR="0006455B"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36EF40B" w14:textId="77777777" w:rsidR="0006455B" w:rsidRDefault="00000000">
            <w:pPr>
              <w:jc w:val="center"/>
            </w:pPr>
            <w:r>
              <w:rPr>
                <w:b/>
                <w:bCs/>
                <w:color w:val="FFFFFF"/>
                <w:sz w:val="18"/>
                <w:szCs w:val="18"/>
              </w:rPr>
              <w:t>Interpretación</w:t>
            </w:r>
          </w:p>
        </w:tc>
      </w:tr>
      <w:tr w:rsidR="0006455B" w14:paraId="2A9208AE"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06AE95" w14:textId="77777777" w:rsidR="0006455B"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4543C" w14:textId="77777777" w:rsidR="0006455B"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004DEC" w14:textId="77777777" w:rsidR="0006455B"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BA458D" w14:textId="77777777" w:rsidR="0006455B"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0B24DD" w14:textId="77777777" w:rsidR="0006455B" w:rsidRDefault="00000000">
            <w:r>
              <w:rPr>
                <w:color w:val="111111"/>
                <w:sz w:val="18"/>
                <w:szCs w:val="18"/>
              </w:rPr>
              <w:t>Moderado estable en ambas cohortes</w:t>
            </w:r>
          </w:p>
        </w:tc>
      </w:tr>
      <w:tr w:rsidR="0006455B" w14:paraId="2CD5B04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63BF3F" w14:textId="77777777" w:rsidR="0006455B"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ACAB07" w14:textId="77777777" w:rsidR="0006455B"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2A0EE6" w14:textId="77777777" w:rsidR="0006455B"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78A61DA" w14:textId="77777777" w:rsidR="0006455B"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D8A8EE" w14:textId="77777777" w:rsidR="0006455B" w:rsidRDefault="00000000">
            <w:r>
              <w:rPr>
                <w:color w:val="111111"/>
                <w:sz w:val="18"/>
                <w:szCs w:val="18"/>
              </w:rPr>
              <w:t>Mejora sustancial: pobre → moderado</w:t>
            </w:r>
          </w:p>
        </w:tc>
      </w:tr>
      <w:tr w:rsidR="0006455B" w14:paraId="159875D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D7F992" w14:textId="77777777" w:rsidR="0006455B" w:rsidRDefault="00000000">
            <w:r>
              <w:rPr>
                <w:color w:val="111111"/>
                <w:sz w:val="18"/>
                <w:szCs w:val="18"/>
              </w:rPr>
              <w:lastRenderedPageBreak/>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48E19DA" w14:textId="77777777" w:rsidR="0006455B"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A82826E" w14:textId="77777777" w:rsidR="0006455B"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D2A5AD" w14:textId="77777777" w:rsidR="0006455B"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B2AD774" w14:textId="77777777" w:rsidR="0006455B" w:rsidRDefault="00000000">
            <w:r>
              <w:rPr>
                <w:color w:val="111111"/>
                <w:sz w:val="18"/>
                <w:szCs w:val="18"/>
              </w:rPr>
              <w:t>Moderado → próximo a bueno</w:t>
            </w:r>
          </w:p>
        </w:tc>
      </w:tr>
      <w:tr w:rsidR="0006455B" w14:paraId="582BB66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4EDF793" w14:textId="77777777" w:rsidR="0006455B"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83F91E8" w14:textId="77777777" w:rsidR="0006455B"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CD1A0C" w14:textId="77777777" w:rsidR="0006455B"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C6CEAA5" w14:textId="77777777" w:rsidR="0006455B"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9727CD5" w14:textId="77777777" w:rsidR="0006455B" w:rsidRDefault="00000000">
            <w:r>
              <w:rPr>
                <w:color w:val="111111"/>
                <w:sz w:val="18"/>
                <w:szCs w:val="18"/>
              </w:rPr>
              <w:t>Moderado estable — rasgo del paciente</w:t>
            </w:r>
          </w:p>
        </w:tc>
      </w:tr>
      <w:tr w:rsidR="0006455B" w14:paraId="152B3F6C"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0011151" w14:textId="77777777" w:rsidR="0006455B"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0214FC" w14:textId="77777777" w:rsidR="0006455B"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EBE91B" w14:textId="77777777" w:rsidR="0006455B"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5A7750" w14:textId="77777777" w:rsidR="0006455B"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8A03557" w14:textId="77777777" w:rsidR="0006455B" w:rsidRDefault="00000000">
            <w:r>
              <w:rPr>
                <w:color w:val="111111"/>
                <w:sz w:val="18"/>
                <w:szCs w:val="18"/>
              </w:rPr>
              <w:t>Pobre en ambas — limitación del dispositivo</w:t>
            </w:r>
          </w:p>
        </w:tc>
      </w:tr>
    </w:tbl>
    <w:p w14:paraId="372CCC88" w14:textId="77777777" w:rsidR="0006455B"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4CAF3D05" w14:textId="77777777" w:rsidR="0006455B" w:rsidRDefault="0006455B">
      <w:pPr>
        <w:spacing w:after="80"/>
      </w:pPr>
    </w:p>
    <w:p w14:paraId="79C4CAD2" w14:textId="77777777" w:rsidR="0006455B" w:rsidRDefault="0006455B">
      <w:pPr>
        <w:spacing w:after="80"/>
      </w:pPr>
    </w:p>
    <w:p w14:paraId="0DA5CA9C" w14:textId="77777777" w:rsidR="0006455B"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06455B" w14:paraId="5DF132DB"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5A80F0" w14:textId="77777777" w:rsidR="0006455B"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114EDB" w14:textId="77777777" w:rsidR="0006455B"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E0AEEF7" w14:textId="77777777" w:rsidR="0006455B"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7E578A" w14:textId="77777777" w:rsidR="0006455B" w:rsidRDefault="00000000">
            <w:pPr>
              <w:jc w:val="center"/>
            </w:pPr>
            <w:r>
              <w:rPr>
                <w:b/>
                <w:bCs/>
                <w:color w:val="FFFFFF"/>
                <w:sz w:val="18"/>
                <w:szCs w:val="18"/>
              </w:rPr>
              <w:t>Observación</w:t>
            </w:r>
          </w:p>
        </w:tc>
      </w:tr>
      <w:tr w:rsidR="0006455B" w14:paraId="5E3599B0"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938E0B7" w14:textId="77777777" w:rsidR="0006455B"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6118832" w14:textId="77777777" w:rsidR="0006455B"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A2DD73" w14:textId="77777777" w:rsidR="0006455B"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8166537" w14:textId="77777777" w:rsidR="0006455B" w:rsidRDefault="00000000">
            <w:r>
              <w:rPr>
                <w:color w:val="111111"/>
                <w:sz w:val="18"/>
                <w:szCs w:val="18"/>
              </w:rPr>
              <w:t>Línea de base — estudio de una sola noche (esquema diagnóstico habitual)</w:t>
            </w:r>
          </w:p>
        </w:tc>
      </w:tr>
      <w:tr w:rsidR="0006455B" w14:paraId="021D9338"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55E34E" w14:textId="77777777" w:rsidR="0006455B"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FE1687" w14:textId="77777777" w:rsidR="0006455B"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4B32829" w14:textId="77777777" w:rsidR="0006455B"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18951F" w14:textId="77777777" w:rsidR="0006455B" w:rsidRDefault="00000000">
            <w:r>
              <w:rPr>
                <w:color w:val="111111"/>
                <w:sz w:val="18"/>
                <w:szCs w:val="18"/>
              </w:rPr>
              <w:t>Mejora sustancial con agregación mínima</w:t>
            </w:r>
          </w:p>
        </w:tc>
      </w:tr>
      <w:tr w:rsidR="0006455B" w14:paraId="19C44D9A"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A56D5C" w14:textId="77777777" w:rsidR="0006455B"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614E19" w14:textId="77777777" w:rsidR="0006455B"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BFDE03B" w14:textId="77777777" w:rsidR="0006455B"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5903EC1" w14:textId="77777777" w:rsidR="0006455B" w:rsidRDefault="00000000">
            <w:r>
              <w:rPr>
                <w:color w:val="111111"/>
                <w:sz w:val="18"/>
                <w:szCs w:val="18"/>
              </w:rPr>
              <w:t>Zona de estabilización para la mayoría de los pacientes</w:t>
            </w:r>
          </w:p>
        </w:tc>
      </w:tr>
      <w:tr w:rsidR="0006455B" w14:paraId="2C7F35D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AE1DE78" w14:textId="77777777" w:rsidR="0006455B"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206D0B" w14:textId="77777777" w:rsidR="0006455B"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5043BD5" w14:textId="77777777" w:rsidR="0006455B"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E77FF06" w14:textId="77777777" w:rsidR="0006455B" w:rsidRDefault="00000000">
            <w:r>
              <w:rPr>
                <w:color w:val="111111"/>
                <w:sz w:val="18"/>
                <w:szCs w:val="18"/>
              </w:rPr>
              <w:t>Estimación de referencia — equivalente a PSG repetida</w:t>
            </w:r>
          </w:p>
        </w:tc>
      </w:tr>
    </w:tbl>
    <w:p w14:paraId="27413679" w14:textId="77777777" w:rsidR="0006455B"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0BD390BC" w14:textId="77777777" w:rsidR="0006455B" w:rsidRDefault="0006455B">
      <w:pPr>
        <w:spacing w:after="80"/>
      </w:pPr>
    </w:p>
    <w:p w14:paraId="4E64286E" w14:textId="77777777" w:rsidR="0006455B" w:rsidRDefault="0006455B">
      <w:pPr>
        <w:spacing w:after="60"/>
      </w:pPr>
    </w:p>
    <w:p w14:paraId="736FDD46" w14:textId="77777777" w:rsidR="0006455B"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2588B40D" w14:textId="77777777" w:rsidR="0006455B" w:rsidRDefault="00000000">
      <w:pPr>
        <w:spacing w:before="80" w:after="40"/>
        <w:jc w:val="center"/>
      </w:pPr>
      <w:r>
        <w:rPr>
          <w:noProof/>
        </w:rPr>
        <w:drawing>
          <wp:inline distT="0" distB="0" distL="0" distR="0" wp14:anchorId="00939718" wp14:editId="3918130A">
            <wp:extent cx="4191000" cy="1495425"/>
            <wp:effectExtent l="0" t="0" r="0" b="0"/>
            <wp:docPr id="685368041" name="Imagen 6853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087026AD" w14:textId="77777777" w:rsidR="0006455B" w:rsidRDefault="00000000">
      <w:pPr>
        <w:spacing w:before="20" w:after="200"/>
        <w:jc w:val="center"/>
      </w:pPr>
      <w:r>
        <w:rPr>
          <w:i/>
          <w:iCs/>
          <w:color w:val="555555"/>
          <w:sz w:val="16"/>
          <w:szCs w:val="16"/>
        </w:rPr>
        <w:t>Nota. Cohorte estricta: 8 pacientes con ≥ 10 noches in_quality. (A) Error absoluto medio (MAE, ev/h) del ODI3 vs número de noches promediadas; banda sombreada: IQR bootstrap (300 iteraciones). Línea punteada roja: umbral operacional MAE = 2 ev/h, alcanzado aproximadamente a partir de 4 noches. (B) ICC(1,1) vs número de noches; los valores crecen desde 0,70 (1 noche) hasta 0,98 (14 noches).</w:t>
      </w:r>
    </w:p>
    <w:p w14:paraId="5188670E" w14:textId="77777777" w:rsidR="0006455B" w:rsidRDefault="0006455B">
      <w:pPr>
        <w:spacing w:after="60"/>
      </w:pPr>
    </w:p>
    <w:p w14:paraId="78E6645E" w14:textId="77777777" w:rsidR="0006455B" w:rsidRDefault="00000000">
      <w:pPr>
        <w:pStyle w:val="Ttulo3"/>
      </w:pPr>
      <w:r>
        <w:t>4.5.2  Reproducibilidad del ARI</w:t>
      </w:r>
    </w:p>
    <w:p w14:paraId="39A553A6" w14:textId="77777777" w:rsidR="0006455B" w:rsidRDefault="00000000">
      <w:pPr>
        <w:spacing w:after="160" w:line="276" w:lineRule="auto"/>
        <w:jc w:val="both"/>
      </w:pPr>
      <w:r>
        <w:lastRenderedPageBreak/>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14:paraId="1686D78E" w14:textId="77777777" w:rsidR="0006455B"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E082AAB" w14:textId="77777777" w:rsidR="0006455B" w:rsidRDefault="0006455B">
      <w:pPr>
        <w:spacing w:after="80"/>
      </w:pPr>
    </w:p>
    <w:p w14:paraId="2A59B1EC" w14:textId="77777777" w:rsidR="0006455B" w:rsidRDefault="0006455B">
      <w:pPr>
        <w:spacing w:after="60"/>
      </w:pPr>
    </w:p>
    <w:p w14:paraId="4E0B6F5E" w14:textId="77777777" w:rsidR="0006455B" w:rsidRDefault="00000000">
      <w:pPr>
        <w:spacing w:before="60" w:after="40"/>
        <w:jc w:val="center"/>
      </w:pPr>
      <w:r>
        <w:rPr>
          <w:b/>
          <w:bCs/>
          <w:color w:val="333333"/>
          <w:sz w:val="18"/>
          <w:szCs w:val="18"/>
        </w:rPr>
        <w:t>Figura 4.7. Validación multi-noche del ARI: MAE bootstrap y análisis de concordancia Bland-Altman.</w:t>
      </w:r>
    </w:p>
    <w:p w14:paraId="27BC51AD" w14:textId="77777777" w:rsidR="0006455B" w:rsidRDefault="00000000">
      <w:pPr>
        <w:spacing w:before="80" w:after="40"/>
        <w:jc w:val="center"/>
      </w:pPr>
      <w:r>
        <w:rPr>
          <w:noProof/>
        </w:rPr>
        <w:drawing>
          <wp:inline distT="0" distB="0" distL="0" distR="0" wp14:anchorId="6B9F3DA0" wp14:editId="570C0402">
            <wp:extent cx="4191000" cy="1495425"/>
            <wp:effectExtent l="0" t="0" r="0" b="0"/>
            <wp:docPr id="1082840098" name="Imagen 108284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7E961C3B" w14:textId="77777777" w:rsidR="0006455B"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5FC60116" w14:textId="77777777" w:rsidR="0006455B" w:rsidRDefault="0006455B">
      <w:pPr>
        <w:spacing w:after="80"/>
      </w:pPr>
    </w:p>
    <w:p w14:paraId="4A249A5C" w14:textId="77777777" w:rsidR="0006455B" w:rsidRDefault="00000000">
      <w:pPr>
        <w:pStyle w:val="Ttulo2"/>
        <w:spacing w:before="300"/>
      </w:pPr>
      <w:r>
        <w:t>4.6  Síntesis</w:t>
      </w:r>
    </w:p>
    <w:p w14:paraId="79428E70" w14:textId="77777777" w:rsidR="0006455B"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095F68C9" w14:textId="77777777" w:rsidR="0006455B" w:rsidRDefault="00000000">
      <w:pPr>
        <w:spacing w:after="160" w:line="276" w:lineRule="auto"/>
        <w:jc w:val="both"/>
      </w:pPr>
      <w: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w:t>
      </w:r>
      <w:r>
        <w:lastRenderedPageBreak/>
        <w:t>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14:paraId="2C439181" w14:textId="77777777" w:rsidR="0006455B" w:rsidRDefault="0006455B">
      <w:pPr>
        <w:spacing w:after="80"/>
      </w:pPr>
    </w:p>
    <w:p w14:paraId="3731DB54" w14:textId="77777777" w:rsidR="0006455B" w:rsidRDefault="00000000">
      <w:r>
        <w:br w:type="page"/>
      </w:r>
    </w:p>
    <w:p w14:paraId="0EB7FAB6" w14:textId="77777777" w:rsidR="0006455B" w:rsidRDefault="00000000">
      <w:pPr>
        <w:pStyle w:val="Ttulo2"/>
        <w:spacing w:before="300"/>
      </w:pPr>
      <w:r>
        <w:lastRenderedPageBreak/>
        <w:t>Referencias</w:t>
      </w:r>
    </w:p>
    <w:p w14:paraId="4319DFC0" w14:textId="77777777" w:rsidR="0006455B"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52A9951A" w14:textId="77777777" w:rsidR="0006455B"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4EC9E3CE" w14:textId="77777777" w:rsidR="0006455B"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32353C1D" w14:textId="77777777" w:rsidR="0006455B"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3F4FFC0D" w14:textId="77777777" w:rsidR="0006455B"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7A855E8D" w14:textId="77777777" w:rsidR="0006455B"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698953A3" w14:textId="77777777" w:rsidR="0006455B"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545A7D30" w14:textId="77777777" w:rsidR="0006455B"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2E8186A3" w14:textId="77777777" w:rsidR="0006455B"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3A16D9C8" w14:textId="77777777" w:rsidR="0006455B"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9AD9AD6" w14:textId="77777777" w:rsidR="0006455B"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06455B">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EC1C9" w14:textId="77777777" w:rsidR="00826091" w:rsidRDefault="00826091">
      <w:r>
        <w:separator/>
      </w:r>
    </w:p>
  </w:endnote>
  <w:endnote w:type="continuationSeparator" w:id="0">
    <w:p w14:paraId="4F637E5D" w14:textId="77777777" w:rsidR="00826091" w:rsidRDefault="0082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94E8" w14:textId="77777777" w:rsidR="0006455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4C1FBB">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6E747" w14:textId="77777777" w:rsidR="00826091" w:rsidRDefault="00826091">
      <w:r>
        <w:separator/>
      </w:r>
    </w:p>
  </w:footnote>
  <w:footnote w:type="continuationSeparator" w:id="0">
    <w:p w14:paraId="321970AD" w14:textId="77777777" w:rsidR="00826091" w:rsidRDefault="00826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6B9D" w14:textId="35A8B7E6" w:rsidR="0006455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C1FBB">
      <w:rPr>
        <w:i/>
        <w:iCs/>
        <w:color w:val="6B7280"/>
        <w:sz w:val="18"/>
        <w:szCs w:val="18"/>
      </w:rPr>
      <w:t>6</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31FEC"/>
    <w:multiLevelType w:val="hybridMultilevel"/>
    <w:tmpl w:val="AD60D2A0"/>
    <w:lvl w:ilvl="0" w:tplc="C79EB196">
      <w:start w:val="1"/>
      <w:numFmt w:val="bullet"/>
      <w:lvlText w:val="●"/>
      <w:lvlJc w:val="left"/>
      <w:pPr>
        <w:ind w:left="720" w:hanging="360"/>
      </w:pPr>
    </w:lvl>
    <w:lvl w:ilvl="1" w:tplc="59FC964C">
      <w:start w:val="1"/>
      <w:numFmt w:val="bullet"/>
      <w:lvlText w:val="○"/>
      <w:lvlJc w:val="left"/>
      <w:pPr>
        <w:ind w:left="1440" w:hanging="360"/>
      </w:pPr>
    </w:lvl>
    <w:lvl w:ilvl="2" w:tplc="819CAD80">
      <w:start w:val="1"/>
      <w:numFmt w:val="bullet"/>
      <w:lvlText w:val="■"/>
      <w:lvlJc w:val="left"/>
      <w:pPr>
        <w:ind w:left="2160" w:hanging="360"/>
      </w:pPr>
    </w:lvl>
    <w:lvl w:ilvl="3" w:tplc="997A89B0">
      <w:start w:val="1"/>
      <w:numFmt w:val="bullet"/>
      <w:lvlText w:val="●"/>
      <w:lvlJc w:val="left"/>
      <w:pPr>
        <w:ind w:left="2880" w:hanging="360"/>
      </w:pPr>
    </w:lvl>
    <w:lvl w:ilvl="4" w:tplc="9460C312">
      <w:start w:val="1"/>
      <w:numFmt w:val="bullet"/>
      <w:lvlText w:val="○"/>
      <w:lvlJc w:val="left"/>
      <w:pPr>
        <w:ind w:left="3600" w:hanging="360"/>
      </w:pPr>
    </w:lvl>
    <w:lvl w:ilvl="5" w:tplc="31AE458A">
      <w:start w:val="1"/>
      <w:numFmt w:val="bullet"/>
      <w:lvlText w:val="■"/>
      <w:lvlJc w:val="left"/>
      <w:pPr>
        <w:ind w:left="4320" w:hanging="360"/>
      </w:pPr>
    </w:lvl>
    <w:lvl w:ilvl="6" w:tplc="510C982C">
      <w:start w:val="1"/>
      <w:numFmt w:val="bullet"/>
      <w:lvlText w:val="●"/>
      <w:lvlJc w:val="left"/>
      <w:pPr>
        <w:ind w:left="5040" w:hanging="360"/>
      </w:pPr>
    </w:lvl>
    <w:lvl w:ilvl="7" w:tplc="7CFEAAB2">
      <w:start w:val="1"/>
      <w:numFmt w:val="bullet"/>
      <w:lvlText w:val="●"/>
      <w:lvlJc w:val="left"/>
      <w:pPr>
        <w:ind w:left="5760" w:hanging="360"/>
      </w:pPr>
    </w:lvl>
    <w:lvl w:ilvl="8" w:tplc="16180B12">
      <w:start w:val="1"/>
      <w:numFmt w:val="bullet"/>
      <w:lvlText w:val="●"/>
      <w:lvlJc w:val="left"/>
      <w:pPr>
        <w:ind w:left="6480" w:hanging="360"/>
      </w:pPr>
    </w:lvl>
  </w:abstractNum>
  <w:num w:numId="1" w16cid:durableId="21396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55B"/>
    <w:rsid w:val="0006455B"/>
    <w:rsid w:val="004C1FBB"/>
    <w:rsid w:val="00826091"/>
    <w:rsid w:val="00DE13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58E7D3"/>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C1FBB"/>
    <w:pPr>
      <w:tabs>
        <w:tab w:val="center" w:pos="4419"/>
        <w:tab w:val="right" w:pos="8838"/>
      </w:tabs>
    </w:pPr>
  </w:style>
  <w:style w:type="character" w:customStyle="1" w:styleId="EncabezadoCar">
    <w:name w:val="Encabezado Car"/>
    <w:basedOn w:val="Fuentedeprrafopredeter"/>
    <w:link w:val="Encabezado"/>
    <w:uiPriority w:val="99"/>
    <w:rsid w:val="004C1FBB"/>
  </w:style>
  <w:style w:type="paragraph" w:styleId="Piedepgina">
    <w:name w:val="footer"/>
    <w:basedOn w:val="Normal"/>
    <w:link w:val="PiedepginaCar"/>
    <w:uiPriority w:val="99"/>
    <w:unhideWhenUsed/>
    <w:rsid w:val="004C1FBB"/>
    <w:pPr>
      <w:tabs>
        <w:tab w:val="center" w:pos="4419"/>
        <w:tab w:val="right" w:pos="8838"/>
      </w:tabs>
    </w:pPr>
  </w:style>
  <w:style w:type="character" w:customStyle="1" w:styleId="PiedepginaCar">
    <w:name w:val="Pie de página Car"/>
    <w:basedOn w:val="Fuentedeprrafopredeter"/>
    <w:link w:val="Piedepgina"/>
    <w:uiPriority w:val="99"/>
    <w:rsid w:val="004C1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4900</Words>
  <Characters>26564</Characters>
  <Application>Microsoft Office Word</Application>
  <DocSecurity>0</DocSecurity>
  <Lines>691</Lines>
  <Paragraphs>314</Paragraphs>
  <ScaleCrop>false</ScaleCrop>
  <Company/>
  <LinksUpToDate>false</LinksUpToDate>
  <CharactersWithSpaces>31153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2026-05-24T17:23:00Z</dcterms:created>
  <dcterms:modified xsi:type="dcterms:W3CDTF">2026-05-24T17:38:00Z</dcterms:modified>
</cp:coreProperties>
</file>