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B7280"/>
          <w:sz w:val="20"/>
          <w:szCs w:val="20"/>
        </w:rPr>
        <w:t xml:space="preserve">CAPÍTULO 4</w:t>
      </w:r>
    </w:p>
    <w:p>
      <w:pPr>
        <w:spacing w:after="80" w:before="0"/>
      </w:pPr>
      <w:r>
        <w:rPr>
          <w:rFonts w:ascii="Arial" w:cs="Arial" w:eastAsia="Arial" w:hAnsi="Arial"/>
          <w:b/>
          <w:bCs/>
          <w:color w:val="1E3A5F"/>
          <w:sz w:val="36"/>
          <w:szCs w:val="36"/>
        </w:rPr>
        <w:t xml:space="preserve">Fenotipado Morfológico y Respuesta Autonómica de los Eventos de Desaturación</w:t>
      </w:r>
    </w:p>
    <w:p>
      <w:pPr>
        <w:pBdr>
          <w:bottom w:val="single" w:color="1E3A5F" w:sz="6" w:space="8"/>
        </w:pBdr>
        <w:spacing w:after="400" w:before="0"/>
      </w:pPr>
      <w:r>
        <w:rPr>
          <w:rFonts w:ascii="Arial" w:cs="Arial" w:eastAsia="Arial" w:hAnsi="Arial"/>
          <w:color w:val="6B7280"/>
          <w:sz w:val="18"/>
          <w:szCs w:val="18"/>
        </w:rPr>
        <w:t xml:space="preserve">Versión 5  ·  Mayo 2026</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5"/>
          <w:szCs w:val="25"/>
        </w:rPr>
        <w:t xml:space="preserve">4.1  Descripción del corpus de eventos</w:t>
      </w:r>
    </w:p>
    <w:p>
      <w:pPr>
        <w:spacing w:after="160" w:line="276" w:lineRule="auto"/>
        <w:jc w:val="both"/>
      </w:pPr>
      <w:r>
        <w:rPr>
          <w:rFonts w:ascii="Arial" w:cs="Arial" w:eastAsia="Arial" w:hAnsi="Arial"/>
          <w:sz w:val="22"/>
          <w:szCs w:val="22"/>
        </w:rPr>
        <w:t xml:space="preserve">El pipeline PAC_v3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y un total de 85.286 EDOs detectados. A lo largo de este capítulo se manejan cuatro tamaños de muestra distintos, cuya diferencia se justifica por criterios de calidad y cohorte; la Tabla 4.0 los resume para facilitar la lectura.</w:t>
      </w:r>
    </w:p>
    <w:p>
      <w:pPr>
        <w:spacing w:after="80"/>
      </w:pPr>
      <w:r>
        <w:t xml:space="preserve"/>
      </w:r>
    </w:p>
    <w:p>
      <w:pPr>
        <w:spacing w:after="80" w:before="80"/>
        <w:jc w:val="center"/>
      </w:pPr>
      <w:r>
        <w:rPr>
          <w:rFonts w:ascii="Arial" w:cs="Arial" w:eastAsia="Arial" w:hAnsi="Arial"/>
          <w:b/>
          <w:bCs/>
          <w:sz w:val="18"/>
          <w:szCs w:val="18"/>
        </w:rPr>
        <w:t xml:space="preserve">Tabla 4.0. Tamaños de muestra utilizados en el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 / noches</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detectado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85.286</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detectados por el algoritmo antes de cualquier filtro de calidad de señal</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In_quality</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85.277</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con señal SpO₂ y FC válida — usados para el ARI y correlaciones (§4.3)</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 morfotipo asignado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84.248</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Subconjunto de in_quality con curva de 30 puntos normalizable — base del clustering C1–C5 (§4.2)</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Cohorte estricta</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83.672</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 8 pacientes con ≥ 10 noches in_quality — usados en modelos predictivos (Capítulos 5–7)</w:t>
            </w:r>
          </w:p>
        </w:tc>
      </w:tr>
    </w:tbl>
    <w:p>
      <w:pPr>
        <w:spacing w:after="200" w:before="60"/>
        <w:jc w:val="center"/>
      </w:pPr>
      <w:r>
        <w:rPr>
          <w:rFonts w:ascii="Arial" w:cs="Arial" w:eastAsia="Arial" w:hAnsi="Arial"/>
          <w:i/>
          <w:iCs/>
          <w:color w:val="444444"/>
          <w:sz w:val="18"/>
          <w:szCs w:val="18"/>
        </w:rPr>
        <w:t xml:space="preserve">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pPr>
        <w:spacing w:after="80"/>
      </w:pPr>
      <w:r>
        <w:t xml:space="preserve"/>
      </w:r>
    </w:p>
    <w:p>
      <w:pPr>
        <w:spacing w:after="160" w:line="276" w:lineRule="auto"/>
        <w:jc w:val="both"/>
      </w:pPr>
      <w:r>
        <w:rPr>
          <w:rFonts w:ascii="Arial" w:cs="Arial" w:eastAsia="Arial" w:hAnsi="Arial"/>
          <w:sz w:val="22"/>
          <w:szCs w:val="22"/>
        </w:rPr>
        <w:t xml:space="preserve">La duración media de registro fue de 5,8 ± 1,5 horas por noche, equivalente a aproximadamente 3.248 horas acumuladas de tiempo de sueño (TST).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el corpus </w:t>
      </w:r>
      <w:r>
        <w:rPr>
          <w:rFonts w:ascii="Arial" w:cs="Arial" w:eastAsia="Arial" w:hAnsi="Arial"/>
          <w:i/>
          <w:iCs/>
          <w:sz w:val="22"/>
          <w:szCs w:val="22"/>
        </w:rPr>
        <w:t xml:space="preserve">in_quality</w:t>
      </w:r>
      <w:r>
        <w:rPr>
          <w:rFonts w:ascii="Arial" w:cs="Arial" w:eastAsia="Arial" w:hAnsi="Arial"/>
          <w:sz w:val="22"/>
          <w:szCs w:val="22"/>
        </w:rPr>
        <w:t xml:space="preserve"> (cohorte completa, 12 pacientes),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5"/>
          <w:szCs w:val="25"/>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spacing w:after="60"/>
      </w:pPr>
      <w:r>
        <w:t xml:space="preserve"/>
      </w:r>
    </w:p>
    <w:p>
      <w:pPr>
        <w:spacing w:after="40" w:before="60"/>
        <w:jc w:val="center"/>
      </w:pPr>
      <w:r>
        <w:rPr>
          <w:rFonts w:ascii="Arial" w:cs="Arial" w:eastAsia="Arial" w:hAnsi="Arial"/>
          <w:b/>
          <w:bCs/>
          <w:color w:val="333333"/>
          <w:sz w:val="18"/>
          <w:szCs w:val="18"/>
        </w:rPr>
        <w:t xml:space="preserve">Figura 4.1. Análisis de componentes principales sobre curvas ΔSpO₂ normalizadas (N = 85.277 EDOs).</w:t>
      </w:r>
    </w:p>
    <w:p>
      <w:pPr>
        <w:spacing w:after="40" w:before="8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908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Panel superior izquierdo: varianza explicada acumulada (Scree plot); PC1 = 62,9 %, PC2 = 14,0 %, PC3 = 7,0 %. Paneles superiores centrales e inferior izquierdo: cargas de los tres primeros componentes en el tiempo normalizado del evento. Paneles de dispersión: proyección de los 85.277 EDOs en el espacio PC1–PC2 (centro inferior) y PC1–PC3 (derecha inferior), coloreados por morfotipo de curva.</w:t>
      </w:r>
    </w:p>
    <w:p>
      <w:pPr>
        <w:spacing w:after="60"/>
      </w:pPr>
      <w:r>
        <w:t xml:space="preserve"/>
      </w:r>
    </w:p>
    <w:p>
      <w:pPr>
        <w:spacing w:after="40" w:before="60"/>
        <w:jc w:val="center"/>
      </w:pPr>
      <w:r>
        <w:rPr>
          <w:rFonts w:ascii="Arial" w:cs="Arial" w:eastAsia="Arial" w:hAnsi="Arial"/>
          <w:b/>
          <w:bCs/>
          <w:color w:val="333333"/>
          <w:sz w:val="18"/>
          <w:szCs w:val="18"/>
        </w:rPr>
        <w:t xml:space="preserve">Figura 4.2. Selección de K = 5 morfotipos, distribución de EDOs y curvas SpO₂ medianas por cluster.</w:t>
      </w:r>
    </w:p>
    <w:p>
      <w:pPr>
        <w:spacing w:after="40" w:before="80"/>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242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80"/>
      </w:pPr>
      <w:r>
        <w:t xml:space="preserve"/>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 puntos porcentuales). Posición nadir: instante del nadir como porcentaje de la duración total del evento. pp: puntos porcentuales.</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4.3. Perfiles de frecuencia cardíaca (FC, fila A) y movimiento (MOV, fila B) por morfotipo C1–C5.</w:t>
      </w:r>
    </w:p>
    <w:p>
      <w:pPr>
        <w:spacing w:after="40" w:before="80"/>
        <w:jc w:val="center"/>
      </w:pPr>
      <w:r>
        <w:drawing>
          <wp:inline distT="0" distB="0" distL="0" distR="0">
            <wp:extent cx="4191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657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consecutivos separados por menos de 2 minutos. Esta distribución es consistente con la descripción de </w:t>
      </w:r>
      <w:r>
        <w:rPr>
          <w:rFonts w:ascii="Arial" w:cs="Arial" w:eastAsia="Arial" w:hAnsi="Arial"/>
          <w:i/>
          <w:iCs/>
          <w:sz w:val="22"/>
          <w:szCs w:val="22"/>
        </w:rPr>
        <w:t xml:space="preserve">trenes apneicos</w:t>
      </w:r>
      <w:r>
        <w:rPr>
          <w:rFonts w:ascii="Arial" w:cs="Arial" w:eastAsia="Arial" w:hAnsi="Arial"/>
          <w:sz w:val="22"/>
          <w:szCs w:val="22"/>
        </w:rP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PAC_v3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18.876 eventos (residuo: 85.277 − α − β − γ; véase nota Tabla 4.3),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18.876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5"/>
          <w:szCs w:val="25"/>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con morfotipo asignado).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pPr>
        <w:spacing w:after="60"/>
      </w:pPr>
      <w:r>
        <w:t xml:space="preserve"/>
      </w:r>
    </w:p>
    <w:p>
      <w:pPr>
        <w:spacing w:after="40" w:before="60"/>
        <w:jc w:val="center"/>
      </w:pPr>
      <w:r>
        <w:rPr>
          <w:rFonts w:ascii="Arial" w:cs="Arial" w:eastAsia="Arial" w:hAnsi="Arial"/>
          <w:b/>
          <w:bCs/>
          <w:color w:val="333333"/>
          <w:sz w:val="18"/>
          <w:szCs w:val="18"/>
        </w:rPr>
        <w:t xml:space="preserve">Figura 4.4. Distribución del ARI por morfotipo y relación con severidad morfológica.</w:t>
      </w:r>
    </w:p>
    <w:p>
      <w:pPr>
        <w:spacing w:after="40" w:before="80"/>
        <w:jc w:val="center"/>
      </w:pPr>
      <w:r>
        <w:drawing>
          <wp:inline distT="0" distB="0" distL="0" distR="0">
            <wp:extent cx="4191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74307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80"/>
      </w:pPr>
      <w:r>
        <w:t xml:space="preserve"/>
      </w:r>
    </w:p>
    <w:p>
      <w:pPr>
        <w:pStyle w:val="Heading3"/>
        <w:spacing w:after="100" w:before="220"/>
      </w:pPr>
      <w:r>
        <w:rPr>
          <w:rFonts w:ascii="Arial" w:cs="Arial" w:eastAsia="Arial" w:hAnsi="Arial"/>
          <w:b/>
          <w:bCs/>
          <w:color w:val="2C4E72"/>
          <w:sz w:val="24"/>
          <w:szCs w:val="24"/>
        </w:rPr>
        <w:t xml:space="preserve">4.3.3  Perfil autonómico por morfotipo y el perfil autonómico inverso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relativamente conservada</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prácticamente nula — compatible con atenuación autonómica; requiere validación externa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4.5. Análisis within-stratum del ARI: diferencias entre ARI-alto y ARI-bajo dentro de cada estrato de severidad ODI3.</w:t>
      </w:r>
    </w:p>
    <w:p>
      <w:pPr>
        <w:spacing w:after="40" w:before="80"/>
        <w:jc w:val="center"/>
      </w:pPr>
      <w:r>
        <w:drawing>
          <wp:inline distT="0" distB="0" distL="0" distR="0">
            <wp:extent cx="4191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276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pPr>
        <w:spacing w:after="160" w:line="276" w:lineRule="auto"/>
        <w:jc w:val="both"/>
      </w:pPr>
      <w:r>
        <w:rPr>
          <w:rFonts w:ascii="Arial" w:cs="Arial" w:eastAsia="Arial" w:hAnsi="Arial"/>
          <w:sz w:val="22"/>
          <w:szCs w:val="22"/>
        </w:rPr>
        <w:t xml:space="preserve">La Figura 4.5 ilustra el análisis </w:t>
      </w:r>
      <w:r>
        <w:rPr>
          <w:rFonts w:ascii="Arial" w:cs="Arial" w:eastAsia="Arial" w:hAnsi="Arial"/>
          <w:i/>
          <w:iCs/>
          <w:sz w:val="22"/>
          <w:szCs w:val="22"/>
        </w:rPr>
        <w:t xml:space="preserve">within-stratum</w:t>
      </w:r>
      <w:r>
        <w:rPr>
          <w:rFonts w:ascii="Arial" w:cs="Arial" w:eastAsia="Arial" w:hAnsi="Arial"/>
          <w:sz w:val="22"/>
          <w:szCs w:val="22"/>
        </w:rPr>
        <w:t xml:space="preserve">: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que podría indicar que requiere menos noches de acumulación para ser representativo del perfil del paciente.</w:t>
      </w:r>
    </w:p>
    <w:p>
      <w:pPr>
        <w:spacing w:after="80"/>
      </w:pPr>
      <w:r>
        <w:t xml:space="preserve"/>
      </w:r>
    </w:p>
    <w:p>
      <w:pPr>
        <w:pStyle w:val="Heading2"/>
        <w:spacing w:after="160" w:before="300"/>
      </w:pPr>
      <w:r>
        <w:rPr>
          <w:rFonts w:ascii="Arial" w:cs="Arial" w:eastAsia="Arial" w:hAnsi="Arial"/>
          <w:b/>
          <w:bCs/>
          <w:color w:val="1E3A5F"/>
          <w:sz w:val="25"/>
          <w:szCs w:val="25"/>
        </w:rPr>
        <w:t xml:space="preserve">4.4  Síntesis de features nocturnas derivadas (NB03)</w:t>
      </w:r>
    </w:p>
    <w:p>
      <w:pPr>
        <w:spacing w:after="160" w:line="276" w:lineRule="auto"/>
        <w:jc w:val="both"/>
      </w:pPr>
      <w:r>
        <w:rPr>
          <w:rFonts w:ascii="Arial" w:cs="Arial" w:eastAsia="Arial" w:hAnsi="Arial"/>
          <w:sz w:val="22"/>
          <w:szCs w:val="22"/>
        </w:rPr>
        <w:t xml:space="preserve">Como cierre del análisis de nivel evento, NB03 agregó los morfotipos C1–C5 y el ARI a nivel noche, incorporándolos junto a los 146 índices ya presentes en </w:t>
      </w:r>
      <w:r>
        <w:rPr>
          <w:rFonts w:ascii="Arial" w:cs="Arial" w:eastAsia="Arial" w:hAnsi="Arial"/>
          <w:i/>
          <w:iCs/>
          <w:sz w:val="22"/>
          <w:szCs w:val="22"/>
        </w:rPr>
        <w:t xml:space="preserve">gold/nights.parquet</w:t>
      </w:r>
      <w:r>
        <w:rPr>
          <w:rFonts w:ascii="Arial" w:cs="Arial" w:eastAsia="Arial" w:hAnsi="Arial"/>
          <w:sz w:val="22"/>
          <w:szCs w:val="22"/>
        </w:rPr>
        <w:t xml:space="preserve"> para conformar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(553 noches con al menos un EDO </w:t>
      </w:r>
      <w:r>
        <w:rPr>
          <w:rFonts w:ascii="Arial" w:cs="Arial" w:eastAsia="Arial" w:hAnsi="Arial"/>
          <w:i/>
          <w:iCs/>
          <w:sz w:val="22"/>
          <w:szCs w:val="22"/>
        </w:rPr>
        <w:t xml:space="preserve">in_quality</w:t>
      </w:r>
      <w:r>
        <w:rPr>
          <w:rFonts w:ascii="Arial" w:cs="Arial" w:eastAsia="Arial" w:hAnsi="Arial"/>
          <w:sz w:val="22"/>
          <w:szCs w:val="22"/>
        </w:rPr>
        <w:t xml:space="preserve">). Las correlaciones de Spearman con el ODI3 mostraron que las fracciones de morfotipo contienen información relevante: </w:t>
      </w:r>
      <w:r>
        <w:rPr>
          <w:rFonts w:ascii="Arial" w:cs="Arial" w:eastAsia="Arial" w:hAnsi="Arial"/>
          <w:i/>
          <w:iCs/>
          <w:sz w:val="22"/>
          <w:szCs w:val="22"/>
        </w:rPr>
        <w:t xml:space="preserve">frac_c1</w:t>
      </w:r>
      <w:r>
        <w:rPr>
          <w:rFonts w:ascii="Arial" w:cs="Arial" w:eastAsia="Arial" w:hAnsi="Arial"/>
          <w:sz w:val="22"/>
          <w:szCs w:val="22"/>
        </w:rPr>
        <w:t xml:space="preserve"> presentó ρ = −0,621 (marcador potencialmente protector) y </w:t>
      </w:r>
      <w:r>
        <w:rPr>
          <w:rFonts w:ascii="Arial" w:cs="Arial" w:eastAsia="Arial" w:hAnsi="Arial"/>
          <w:i/>
          <w:iCs/>
          <w:sz w:val="22"/>
          <w:szCs w:val="22"/>
        </w:rPr>
        <w:t xml:space="preserve">frac_c2</w:t>
      </w:r>
      <w:r>
        <w:rPr>
          <w:rFonts w:ascii="Arial" w:cs="Arial" w:eastAsia="Arial" w:hAnsi="Arial"/>
          <w:sz w:val="22"/>
          <w:szCs w:val="22"/>
        </w:rP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rFonts w:ascii="Arial" w:cs="Arial" w:eastAsia="Arial" w:hAnsi="Arial"/>
          <w:i/>
          <w:iCs/>
          <w:sz w:val="22"/>
          <w:szCs w:val="22"/>
        </w:rPr>
        <w:t xml:space="preserve">Hypoxic Burden</w:t>
      </w:r>
      <w:r>
        <w:rPr>
          <w:rFonts w:ascii="Arial" w:cs="Arial" w:eastAsia="Arial" w:hAnsi="Arial"/>
          <w:sz w:val="22"/>
          <w:szCs w:val="22"/>
        </w:rPr>
        <w:t xml:space="preserve"> sobre T90, </w:t>
      </w:r>
      <w:r>
        <w:rPr>
          <w:rFonts w:ascii="Arial" w:cs="Arial" w:eastAsia="Arial" w:hAnsi="Arial"/>
          <w:i/>
          <w:iCs/>
          <w:sz w:val="22"/>
          <w:szCs w:val="22"/>
        </w:rPr>
        <w:t xml:space="preserve">frac_severe_morpho</w:t>
      </w:r>
      <w:r>
        <w:rPr>
          <w:rFonts w:ascii="Arial" w:cs="Arial" w:eastAsia="Arial" w:hAnsi="Arial"/>
          <w:sz w:val="22"/>
          <w:szCs w:val="22"/>
        </w:rPr>
        <w:t xml:space="preserve"> sobre </w:t>
      </w:r>
      <w:r>
        <w:rPr>
          <w:rFonts w:ascii="Arial" w:cs="Arial" w:eastAsia="Arial" w:hAnsi="Arial"/>
          <w:i/>
          <w:iCs/>
          <w:sz w:val="22"/>
          <w:szCs w:val="22"/>
        </w:rPr>
        <w:t xml:space="preserve">frac_c4</w:t>
      </w:r>
      <w:r>
        <w:rPr>
          <w:rFonts w:ascii="Arial" w:cs="Arial" w:eastAsia="Arial" w:hAnsi="Arial"/>
          <w:sz w:val="22"/>
          <w:szCs w:val="22"/>
        </w:rPr>
        <w:t xml:space="preserve"> aislado, ARI sobre HR gain). Esta matriz constituye la entrada de los modelos de los capítulos siguientes.</w:t>
      </w:r>
    </w:p>
    <w:p>
      <w:pPr>
        <w:spacing w:after="80"/>
      </w:pPr>
      <w:r>
        <w:t xml:space="preserve"/>
      </w:r>
    </w:p>
    <w:p>
      <w:pPr>
        <w:pStyle w:val="Heading2"/>
        <w:spacing w:after="160" w:before="300"/>
      </w:pPr>
      <w:r>
        <w:rPr>
          <w:rFonts w:ascii="Arial" w:cs="Arial" w:eastAsia="Arial" w:hAnsi="Arial"/>
          <w:b/>
          <w:bCs/>
          <w:color w:val="1E3A5F"/>
          <w:sz w:val="25"/>
          <w:szCs w:val="25"/>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estudio de una sola noche (esquema diagnóstico habitual)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 equivalente a PSG repetida</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4.6. Estabilización del ODI3 con el número de noches promediadas (simulación bootstrap, cohorte estricta, 8 pacientes con ≥ 10 noches).</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pPr>
        <w:spacing w:after="6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4.7. Validación multi-noche del ARI: MAE bootstrap y análisis de concordancia Bland-Altman.</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pPr>
        <w:spacing w:after="80"/>
      </w:pPr>
      <w:r>
        <w:t xml:space="preserve"/>
      </w:r>
    </w:p>
    <w:p>
      <w:pPr>
        <w:pStyle w:val="Heading2"/>
        <w:spacing w:after="160" w:before="300"/>
      </w:pPr>
      <w:r>
        <w:rPr>
          <w:rFonts w:ascii="Arial" w:cs="Arial" w:eastAsia="Arial" w:hAnsi="Arial"/>
          <w:b/>
          <w:bCs/>
          <w:color w:val="1E3A5F"/>
          <w:sz w:val="25"/>
          <w:szCs w:val="25"/>
        </w:rPr>
        <w:t xml:space="preserve">4.6  Síntesis</w:t>
      </w:r>
    </w:p>
    <w:p>
      <w:pPr>
        <w:spacing w:after="160" w:line="276" w:lineRule="auto"/>
        <w:jc w:val="both"/>
      </w:pPr>
      <w:r>
        <w:rPr>
          <w:rFonts w:ascii="Arial" w:cs="Arial" w:eastAsia="Arial" w:hAnsi="Arial"/>
          <w:sz w:val="22"/>
          <w:szCs w:val="22"/>
        </w:rPr>
        <w:t xml:space="preserve">Los resultados de este capítulo sugieren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pPr>
        <w:spacing w:after="160" w:line="276" w:lineRule="auto"/>
        <w:jc w:val="both"/>
      </w:pPr>
      <w:r>
        <w:rPr>
          <w:rFonts w:ascii="Arial" w:cs="Arial" w:eastAsia="Arial" w:hAnsi="Arial"/>
          <w:sz w:val="22"/>
          <w:szCs w:val="22"/>
        </w:rP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pPr>
        <w:spacing w:after="80"/>
      </w:pPr>
      <w:r>
        <w:t xml:space="preserve"/>
      </w:r>
    </w:p>
    <w:p>
      <w:r>
        <w:br w:type="page"/>
      </w:r>
    </w:p>
    <w:p>
      <w:pPr>
        <w:pStyle w:val="Heading2"/>
        <w:spacing w:after="160" w:before="300"/>
      </w:pPr>
      <w:r>
        <w:rPr>
          <w:rFonts w:ascii="Arial" w:cs="Arial" w:eastAsia="Arial" w:hAnsi="Arial"/>
          <w:b/>
          <w:bCs/>
          <w:color w:val="1E3A5F"/>
          <w:sz w:val="25"/>
          <w:szCs w:val="25"/>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Li,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4 — Fenotipado Morfológico y ARI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0a273a2e5ed764e79797940817497bffdb8cf.png"/><Relationship Id="rId10" Type="http://schemas.openxmlformats.org/officeDocument/2006/relationships/image" Target="media/90574ec2e9122f4a4899f7302d9887e61fceae71.png"/><Relationship Id="rId11" Type="http://schemas.openxmlformats.org/officeDocument/2006/relationships/image" Target="media/1fda86d743213620eeeaeee7e5be8201c338c8c6.png"/><Relationship Id="rId12" Type="http://schemas.openxmlformats.org/officeDocument/2006/relationships/image" Target="media/23d6f81d16a929aa3e131294b70cb90e2e76b3eb.png"/><Relationship Id="rId13" Type="http://schemas.openxmlformats.org/officeDocument/2006/relationships/image" Target="media/7a690b2f63fec2ce8798c4a05cf81a73a69a39c2.png"/><Relationship Id="rId14" Type="http://schemas.openxmlformats.org/officeDocument/2006/relationships/image" Target="media/11f58296809c962098887950cbf6e96f80ed1715.png"/><Relationship Id="rId15" Type="http://schemas.openxmlformats.org/officeDocument/2006/relationships/image" Target="media/e287f170be8b02bf2a7c04372fddb5d02896bf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2026-05-24T17:50:54.923Z</dcterms:created>
  <dcterms:modified xsi:type="dcterms:W3CDTF">2026-05-24T17:50:54.923Z</dcterms:modified>
</cp:coreProperties>
</file>

<file path=docProps/custom.xml><?xml version="1.0" encoding="utf-8"?>
<Properties xmlns="http://schemas.openxmlformats.org/officeDocument/2006/custom-properties" xmlns:vt="http://schemas.openxmlformats.org/officeDocument/2006/docPropsVTypes"/>
</file>