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14  ·  Mayo 2026</w:t>
      </w:r>
    </w:p>
    <w:p w14:paraId="16A8E69A" w14:textId="05F8E6E3" w:rsidR="00A71A2A" w:rsidRPr="00A71A2A" w:rsidRDefault="00A71A2A" w:rsidP="00A71A2A">
      <w:pPr>
        <w:pStyle w:val="font-claude-response-body"/>
        <w:spacing w:line="276" w:lineRule="auto"/>
        <w:jc w:val="both"/>
        <w:rPr>
          <w:rFonts w:ascii="Arial" w:hAnsi="Arial" w:cs="Arial"/>
        </w:rPr>
      </w:pPr>
      <w:r>
        <w:rPr>
          <w:rFonts w:ascii="Arial" w:hAnsi="Arial" w:cs="Arial"/>
        </w:rPr>
        <w:t xml:space="preserve">El análisis clínico del SAOS condensa la noche en índices escalares: el ODI3 expresa cuántos eventos de desaturación ocurrieron por hora, pero no distingue su forma ni la respuesta autonómica que generaron. Este capítulo invierte esa dirección: en lugar de agregar eventos en un índice, los descompone individualmente. Los resultados provienen de dos análisis del pipeline </w:t>
      </w:r>
      <w:r>
        <w:rPr>
          <w:rFonts w:ascii="Arial" w:hAnsi="Arial" w:cs="Arial"/>
          <w:b/>
          <w:bCs/>
        </w:rPr>
        <w:t>PAC_v3</w:t>
      </w:r>
      <w:r>
        <w:rPr>
          <w:rFonts w:ascii="Arial" w:hAnsi="Arial" w:cs="Arial"/>
        </w:rPr>
        <w:t xml:space="preserve">. </w:t>
      </w:r>
      <w:r>
        <w:rPr>
          <w:rStyle w:val="Fuerte"/>
          <w:rFonts w:ascii="Arial" w:hAnsi="Arial" w:cs="Arial"/>
        </w:rPr>
        <w:t>NB01</w:t>
      </w:r>
      <w:r>
        <w:rPr>
          <w:rFonts w:ascii="Arial" w:hAnsi="Arial" w:cs="Arial"/>
        </w:rPr>
        <w:t xml:space="preserve"> aplica PCA y K-means sobre las 84.248 curvas de SpO</w:t>
      </w:r>
      <w:r>
        <w:rPr>
          <w:rFonts w:ascii="Cambria Math" w:hAnsi="Cambria Math" w:cs="Cambria Math"/>
        </w:rPr>
        <w:t>₂</w:t>
      </w:r>
      <w:r>
        <w:rPr>
          <w:rFonts w:ascii="Arial" w:hAnsi="Arial" w:cs="Arial"/>
        </w:rPr>
        <w:t xml:space="preserve"> normalizadas (30 puntos por evento) </w:t>
      </w:r>
      <w:r>
        <w:rPr>
          <w:rStyle w:val="nfasis"/>
          <w:rFonts w:ascii="Arial" w:hAnsi="Arial" w:cs="Arial"/>
        </w:rPr>
        <w:t>K</w:t>
      </w:r>
      <w:r>
        <w:rPr>
          <w:rFonts w:ascii="Arial" w:hAnsi="Arial" w:cs="Arial"/>
        </w:rPr>
        <w:t xml:space="preserve">para identificar cinco morfotipos (C1–C5) que capturan dimensiones de la desaturación que el recuento de frecuencia no registra. </w:t>
      </w:r>
      <w:r>
        <w:rPr>
          <w:rStyle w:val="Fuerte"/>
          <w:rFonts w:ascii="Arial" w:hAnsi="Arial" w:cs="Arial"/>
        </w:rPr>
        <w:t>NB02</w:t>
      </w:r>
      <w:r>
        <w:rPr>
          <w:rFonts w:ascii="Arial" w:hAnsi="Arial" w:cs="Arial"/>
        </w:rPr>
        <w:t xml:space="preserve"> introduce el ARI como segunda dimensión —de reactividad autonómica, no de severidad— y muestra que sería prácticamente independiente de los índices clásicos.</w:t>
      </w:r>
    </w:p>
    <w:p w14:paraId="11117FFD" w14:textId="77777777" w:rsidR="00A71A2A" w:rsidRDefault="00A71A2A" w:rsidP="00A71A2A">
      <w:pPr>
        <w:pStyle w:val="font-claude-response-body"/>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§3.2.1.</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1562771496"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pPr>
        <w:spacing w:after="140" w:line="280" w:lineRule="auto"/>
        <w:jc w:val="both"/>
      </w:pPr>
      <w:r>
        <w:rPr>
          <w:sz w:val="20"/>
          <w:szCs w:val="20"/>
        </w:rPr>
        <w:t xml:space="preserve">El intervalo inter-evento (IEI) mediano fue de 82 segundos, con el 62,8 % de los pares consecutivos separados por menos de 2 minutos, lo que refleja la tendencia de los EDOs a agruparse en trenes densos y justifica la elección del baseline móvil de 120 s en el pipeline de detección.</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6BB6DDB6" w14:textId="77777777" w:rsidR="00220889" w:rsidRDefault="00220889">
      <w:pPr>
        <w:spacing w:after="80"/>
      </w:pPr>
    </w:p>
    <w:p w14:paraId="6164758B" w14:textId="77777777" w:rsidR="00220889" w:rsidRDefault="00000000">
      <w:pPr>
        <w:pStyle w:val="Ttulo3"/>
      </w:pPr>
      <w:r>
        <w:t>4.2.6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ICC moderado-bajo; alta variabilidad situacional</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pPr>
        <w:spacing w:after="100" w:line="280" w:lineRule="auto"/>
        <w:jc w:val="both"/>
      </w:pPr>
      <w:r>
        <w:rPr>
          <w:i/>
          <w:iCs/>
          <w:color w:val="6B7280"/>
          <w:sz w:val="18"/>
          <w:szCs w:val="18"/>
        </w:rPr>
        <w:t xml:space="preserve">▸ Figuras complementarias en Anexo Suplementario: Fig. 4.3 (perfiles de FC y MOV por morfotipo). Tabla 4.3 (correspondencia α–κ con morfotipos de curva) disponible en Anexo Suplementario.</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1313832089"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pPr>
        <w:spacing w:after="100" w:line="280" w:lineRule="auto"/>
        <w:jc w:val="both"/>
      </w:pPr>
      <w:r>
        <w:rPr>
          <w:i/>
          <w:iCs/>
          <w:color w:val="6B7280"/>
          <w:sz w:val="18"/>
          <w:szCs w:val="18"/>
        </w:rPr>
        <w:t xml:space="preserve">▸ Figura complementaria en Anexo Suplementario: Fig. 4.5 (análisis within-stratum del ARI por categoría ODI3).</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7A8C03F0" w14:textId="77777777" w:rsidR="00220889" w:rsidRDefault="00000000">
      <w:pPr>
        <w:pStyle w:val="Ttulo2"/>
        <w:spacing w:before="300"/>
      </w:pPr>
      <w:r>
        <w:t>4.5  Validación de reproducibilidad multi-noche</w:t>
      </w:r>
    </w:p>
    <w:p w14:paraId="12A6B03C" w14:textId="77777777" w:rsidR="00220889" w:rsidRDefault="00000000">
      <w:pPr>
        <w:pStyle w:val="Ttulo3"/>
      </w:pPr>
      <w:r>
        <w:t>4.5.1  Estabilización del ODI3 con el número de noches</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(540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pPr>
        <w:spacing w:after="100" w:line="280" w:lineRule="auto"/>
        <w:jc w:val="both"/>
      </w:pPr>
      <w:r>
        <w:rPr>
          <w:i/>
          <w:iCs/>
          <w:color w:val="6B7280"/>
          <w:sz w:val="18"/>
          <w:szCs w:val="18"/>
        </w:rPr>
        <w:t xml:space="preserve">▸ Figuras complementarias en Anexo Suplementario: Fig. 4.6 (estabilización del ODI3 con número de noches), Fig. 4.7 (Bland-Altman ARI multi-noche).</w:t>
      </w:r>
    </w:p>
    <w:p w14:paraId="49FB82E1" w14:textId="77777777" w:rsidR="00220889" w:rsidRDefault="00220889">
      <w:pPr>
        <w:spacing w:after="80"/>
      </w:pPr>
    </w:p>
    <w:p w14:paraId="50D8D8EA" w14:textId="77777777" w:rsidR="00220889" w:rsidRDefault="00220889">
      <w:pPr>
        <w:spacing w:after="60"/>
      </w:pP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la profundidad hipóxica individual de cada evento (ρ(ARI, drop_pct) = 0,034 a nivel de evento; N = 85.277 EDOs) y con correlación negativa débil respecto al ODI3 nocturno (ρ(ARI, ODI3) = −0,065 a nivel de evento).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55337484" w14:textId="77777777" w:rsidR="00220889" w:rsidRDefault="00220889">
      <w:pPr>
        <w:spacing w:after="80"/>
      </w:pPr>
    </w:p>
    <w:p w14:paraId="3209C891" w14:textId="77777777" w:rsidR="00220889" w:rsidRDefault="00000000">
      <w:r>
        <w:br w:type="page"/>
      </w:r>
    </w:p>
    <w:sectPr w:rsidR="00220889">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9E7" w14:textId="77777777" w:rsidR="00066AFB" w:rsidRDefault="00066AFB">
      <w:r>
        <w:separator/>
      </w:r>
    </w:p>
  </w:endnote>
  <w:endnote w:type="continuationSeparator" w:id="0">
    <w:p w14:paraId="0B466359" w14:textId="77777777" w:rsidR="00066AFB" w:rsidRDefault="0006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99F" w14:textId="77777777" w:rsidR="0022088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71A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F1A" w14:textId="77777777" w:rsidR="00066AFB" w:rsidRDefault="00066AFB">
      <w:r>
        <w:separator/>
      </w:r>
    </w:p>
  </w:footnote>
  <w:footnote w:type="continuationSeparator" w:id="0">
    <w:p w14:paraId="705C96AF" w14:textId="77777777" w:rsidR="00066AFB" w:rsidRDefault="0006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EC35" w14:textId="1E003C82" w:rsidR="0022088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3142D">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247"/>
    <w:multiLevelType w:val="hybridMultilevel"/>
    <w:tmpl w:val="F8DCAD66"/>
    <w:lvl w:ilvl="0" w:tplc="8F646892">
      <w:start w:val="1"/>
      <w:numFmt w:val="bullet"/>
      <w:lvlText w:val="●"/>
      <w:lvlJc w:val="left"/>
      <w:pPr>
        <w:ind w:left="720" w:hanging="360"/>
      </w:pPr>
    </w:lvl>
    <w:lvl w:ilvl="1" w:tplc="44108A82">
      <w:start w:val="1"/>
      <w:numFmt w:val="bullet"/>
      <w:lvlText w:val="○"/>
      <w:lvlJc w:val="left"/>
      <w:pPr>
        <w:ind w:left="1440" w:hanging="360"/>
      </w:pPr>
    </w:lvl>
    <w:lvl w:ilvl="2" w:tplc="0436088C">
      <w:start w:val="1"/>
      <w:numFmt w:val="bullet"/>
      <w:lvlText w:val="■"/>
      <w:lvlJc w:val="left"/>
      <w:pPr>
        <w:ind w:left="2160" w:hanging="360"/>
      </w:pPr>
    </w:lvl>
    <w:lvl w:ilvl="3" w:tplc="63205478">
      <w:start w:val="1"/>
      <w:numFmt w:val="bullet"/>
      <w:lvlText w:val="●"/>
      <w:lvlJc w:val="left"/>
      <w:pPr>
        <w:ind w:left="2880" w:hanging="360"/>
      </w:pPr>
    </w:lvl>
    <w:lvl w:ilvl="4" w:tplc="03960656">
      <w:start w:val="1"/>
      <w:numFmt w:val="bullet"/>
      <w:lvlText w:val="○"/>
      <w:lvlJc w:val="left"/>
      <w:pPr>
        <w:ind w:left="3600" w:hanging="360"/>
      </w:pPr>
    </w:lvl>
    <w:lvl w:ilvl="5" w:tplc="8CA0392C">
      <w:start w:val="1"/>
      <w:numFmt w:val="bullet"/>
      <w:lvlText w:val="■"/>
      <w:lvlJc w:val="left"/>
      <w:pPr>
        <w:ind w:left="4320" w:hanging="360"/>
      </w:pPr>
    </w:lvl>
    <w:lvl w:ilvl="6" w:tplc="DE62E056">
      <w:start w:val="1"/>
      <w:numFmt w:val="bullet"/>
      <w:lvlText w:val="●"/>
      <w:lvlJc w:val="left"/>
      <w:pPr>
        <w:ind w:left="5040" w:hanging="360"/>
      </w:pPr>
    </w:lvl>
    <w:lvl w:ilvl="7" w:tplc="C458EDF2">
      <w:start w:val="1"/>
      <w:numFmt w:val="bullet"/>
      <w:lvlText w:val="●"/>
      <w:lvlJc w:val="left"/>
      <w:pPr>
        <w:ind w:left="5760" w:hanging="360"/>
      </w:pPr>
    </w:lvl>
    <w:lvl w:ilvl="8" w:tplc="ECDC7492">
      <w:start w:val="1"/>
      <w:numFmt w:val="bullet"/>
      <w:lvlText w:val="●"/>
      <w:lvlJc w:val="left"/>
      <w:pPr>
        <w:ind w:left="6480" w:hanging="360"/>
      </w:pPr>
    </w:lvl>
  </w:abstractNum>
  <w:num w:numId="1" w16cid:durableId="20942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9"/>
    <w:rsid w:val="00066AFB"/>
    <w:rsid w:val="000F522A"/>
    <w:rsid w:val="001B38E7"/>
    <w:rsid w:val="00220889"/>
    <w:rsid w:val="0043142D"/>
    <w:rsid w:val="00542413"/>
    <w:rsid w:val="00726E42"/>
    <w:rsid w:val="00A71A2A"/>
    <w:rsid w:val="00CB7A73"/>
    <w:rsid w:val="00FF3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0447FB"/>
  <w15:docId w15:val="{B1D7434C-C151-224A-AD9A-28254C2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 w:type="paragraph" w:styleId="Encabezado">
    <w:name w:val="header"/>
    <w:basedOn w:val="Normal"/>
    <w:link w:val="EncabezadoCar"/>
    <w:uiPriority w:val="99"/>
    <w:unhideWhenUsed/>
    <w:rsid w:val="0043142D"/>
    <w:pPr>
      <w:tabs>
        <w:tab w:val="center" w:pos="4419"/>
        <w:tab w:val="right" w:pos="8838"/>
      </w:tabs>
    </w:pPr>
  </w:style>
  <w:style w:type="character" w:customStyle="1" w:styleId="EncabezadoCar">
    <w:name w:val="Encabezado Car"/>
    <w:basedOn w:val="Fuentedeprrafopredeter"/>
    <w:link w:val="Encabezado"/>
    <w:uiPriority w:val="99"/>
    <w:rsid w:val="0043142D"/>
  </w:style>
  <w:style w:type="paragraph" w:styleId="Piedepgina">
    <w:name w:val="footer"/>
    <w:basedOn w:val="Normal"/>
    <w:link w:val="PiedepginaCar"/>
    <w:uiPriority w:val="99"/>
    <w:unhideWhenUsed/>
    <w:rsid w:val="0043142D"/>
    <w:pPr>
      <w:tabs>
        <w:tab w:val="center" w:pos="4419"/>
        <w:tab w:val="right" w:pos="8838"/>
      </w:tabs>
    </w:pPr>
  </w:style>
  <w:style w:type="character" w:customStyle="1" w:styleId="PiedepginaCar">
    <w:name w:val="Pie de página Car"/>
    <w:basedOn w:val="Fuentedeprrafopredeter"/>
    <w:link w:val="Piedepgina"/>
    <w:uiPriority w:val="99"/>
    <w:rsid w:val="0043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5055</Words>
  <Characters>27298</Characters>
  <Application>Microsoft Office Word</Application>
  <DocSecurity>0</DocSecurity>
  <Lines>718</Lines>
  <Paragraphs>371</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2026-05-24T22:53:00Z</dcterms:created>
  <dcterms:modified xsi:type="dcterms:W3CDTF">2026-05-24T22:53:00Z</dcterms:modified>
</cp:coreProperties>
</file>