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11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85.277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curva SpO₂ normalizable, constituyendo la base tanto del cálculo del ARI como del clustering morfológico; y 78.908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85.277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85.277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t>Nota. (a) Coeficiente Silhouette para K ∈ [2, 7]; máximo en K = 5 (S = 0,386). (b) Distribución de los 85.277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5.122 eventos (6,0 %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1,0 %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 xml:space="preserve">Para evaluar si los morfotipos constituyen rasgos estables del paciente —y no artefactos de la noche de medición—, se calculó el coeficiente de correlación interclase (ICC(1,1)) sobre la fracción nocturna de cada morfotipo a lo largo de las </w:t>
      </w:r>
      <w:r>
        <w:rPr>
          <w:rFonts w:asciiTheme="minorHAnsi" w:hAnsiTheme="minorHAnsi"/>
        </w:rPr>
        <w:t>noches consecutivas de cada paciente (Koo &amp; Li, 2016). C2 mostró la mayor consistencia inter-noche (ICC = 0,682, moderada): los pacientes con alta proporción de eventos C2 tienden a mantenerla de una noche a la siguiente. Los morfotipos severos C3 y C4 presentaron ICC pobre (0,419 y 0,476); C5, pese a su menor prevalencia (821 eventos), alcanzó ICC moderado (0,505). Estos valores reflejan la escasa prevalencia de morfotipos severos por noche: con pocos eventos por noche, la fracción nocturna es ruidosa aunque el patrón del paciente sea real.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r>
      <w:r>
        <w:rPr>
          <w:rFonts w:asciiTheme="minorHAnsi" w:hAnsiTheme="minorHAnsi"/>
        </w:rPr>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0,035 (N = 85.277 EDOs). Pese a la significación estadística, esperable con n tan grande (Wasserstein &amp; Lazar, 2016), el tamaño del efecto es prácticamente nulo. Esta </w:t>
      </w:r>
      <w:r>
        <w:rPr>
          <w:rFonts w:asciiTheme="minorHAnsi" w:hAnsiTheme="minorHAnsi"/>
        </w:rPr>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(0,422 ± 0,105)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definido en §3.3.3 (N = 85.277 EDOs). HR gain: lpm por punto porcentual de caída de SpO₂. C4+C5 = morfotipos severos (is_severe = True).</w:t>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 xml:space="preserve">La agregación de los morfotipos C1–C5 y el ARI a nivel noche conformó una matriz de 50 features nocturnas (553 noches con ≥ 1 EDO in_quality (de las 560 totales; las 7 restantes no registraron ningún EDO de calidad). Las correlaciones de Spearman con el ODI3 mostraron que las fracciones de morfotipo contienen información relevante: frac_c1 presentó ρ = −0,621 (marcador potencialmente protector) y frac_c2 ρ = +0,625 (carga creciente con la severidad), mientras que el ARI </w:t>
      </w:r>
      <w:r>
        <w:rPr>
          <w:rFonts w:asciiTheme="minorHAnsi" w:hAnsiTheme="minorHAnsi"/>
        </w:rPr>
        <w:lastRenderedPageBreak/>
        <w:t>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Los EDOs constituyen una clase heterogénea de eventos: el clustering sobre curvas normalizadas identificó cinco morfotipos (C1–C5) que capturan dimensiones </w:t>
      </w:r>
      <w:r>
        <w:rPr>
          <w:rFonts w:asciiTheme="minorHAnsi" w:hAnsiTheme="minorHAnsi"/>
        </w:rPr>
        <w:t>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