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aportaron el 23,8 % de la carga hipóxica acumulada del corpus pese a representar apenas el 6,0 % de los eventos, casi cuatro veces su peso por frecuencia. El morfotipo C5 (caída media de 10,1 pp sin retorno al baseline) representó el 1,0 % de los eventos pero concentró el 7,0 % de la carga hipóxica total.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0,052 ± 0,045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0,9 %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0,049 ± 0,069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13,77 ± 25,51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98,5 %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Media (μ): valor medio (± DE) de cada componente en crudo sobre el corpus. Peso efectivo real: fracción que cada componente aportaría a una suma lineal con los pesos nominales 50/30/20 sin normalizar la escala. El componente MOV, cuya magnitud cruda supera en unos dos órdenes a la de SpO₂ y FC, absorbería ≈98 % del índice pese a su peso nominal del 20 %; esta dominancia de escala es la que motiva la percentilización adoptada en el ARI. SpO₂ figura aquí como estímulo (profundidad de la caída) y no como respuesta autonómica, por lo que se excluyó del índice final: el ARI canónico combina únicamente las dos señales de respuesta, FC y MOV.</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